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黑体"/>
          <w:sz w:val="36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8"/>
          <w:szCs w:val="48"/>
        </w:rPr>
      </w:pPr>
      <w:r>
        <w:rPr>
          <w:rFonts w:hint="eastAsia" w:ascii="方正小标宋_GBK" w:eastAsia="方正小标宋_GBK"/>
          <w:sz w:val="48"/>
          <w:szCs w:val="48"/>
        </w:rPr>
        <w:t>全省外事系统先进集体</w:t>
      </w:r>
    </w:p>
    <w:p>
      <w:pPr>
        <w:spacing w:line="580" w:lineRule="exact"/>
        <w:jc w:val="center"/>
        <w:rPr>
          <w:rFonts w:ascii="方正小标宋_GBK" w:eastAsia="方正小标宋_GBK"/>
          <w:sz w:val="48"/>
          <w:szCs w:val="48"/>
        </w:rPr>
      </w:pPr>
      <w:r>
        <w:rPr>
          <w:rFonts w:hint="eastAsia" w:ascii="方正小标宋_GBK" w:eastAsia="方正小标宋_GBK"/>
          <w:sz w:val="48"/>
          <w:szCs w:val="48"/>
        </w:rPr>
        <w:t>推</w:t>
      </w:r>
      <w:r>
        <w:rPr>
          <w:rFonts w:ascii="方正小标宋_GBK" w:eastAsia="方正小标宋_GBK"/>
          <w:sz w:val="48"/>
          <w:szCs w:val="48"/>
        </w:rPr>
        <w:t xml:space="preserve"> </w:t>
      </w:r>
      <w:r>
        <w:rPr>
          <w:rFonts w:hint="eastAsia" w:ascii="方正小标宋_GBK" w:eastAsia="方正小标宋_GBK"/>
          <w:sz w:val="48"/>
          <w:szCs w:val="48"/>
        </w:rPr>
        <w:t>荐</w:t>
      </w:r>
      <w:r>
        <w:rPr>
          <w:rFonts w:ascii="方正小标宋_GBK" w:eastAsia="方正小标宋_GBK"/>
          <w:sz w:val="48"/>
          <w:szCs w:val="48"/>
        </w:rPr>
        <w:t xml:space="preserve"> </w:t>
      </w:r>
      <w:r>
        <w:rPr>
          <w:rFonts w:hint="eastAsia" w:ascii="方正小标宋_GBK" w:eastAsia="方正小标宋_GBK"/>
          <w:sz w:val="48"/>
          <w:szCs w:val="48"/>
        </w:rPr>
        <w:t>审</w:t>
      </w:r>
      <w:r>
        <w:rPr>
          <w:rFonts w:ascii="方正小标宋_GBK" w:eastAsia="方正小标宋_GBK"/>
          <w:sz w:val="48"/>
          <w:szCs w:val="48"/>
        </w:rPr>
        <w:t xml:space="preserve"> </w:t>
      </w:r>
      <w:r>
        <w:rPr>
          <w:rFonts w:hint="eastAsia" w:ascii="方正小标宋_GBK" w:eastAsia="方正小标宋_GBK"/>
          <w:sz w:val="48"/>
          <w:szCs w:val="48"/>
        </w:rPr>
        <w:t>批</w:t>
      </w:r>
      <w:r>
        <w:rPr>
          <w:rFonts w:ascii="方正小标宋_GBK" w:eastAsia="方正小标宋_GBK"/>
          <w:sz w:val="48"/>
          <w:szCs w:val="48"/>
        </w:rPr>
        <w:t xml:space="preserve"> </w:t>
      </w:r>
      <w:r>
        <w:rPr>
          <w:rFonts w:hint="eastAsia" w:ascii="方正小标宋_GBK" w:eastAsia="方正小标宋_GBK"/>
          <w:sz w:val="48"/>
          <w:szCs w:val="48"/>
        </w:rPr>
        <w:t>表</w:t>
      </w:r>
    </w:p>
    <w:p>
      <w:pPr>
        <w:spacing w:line="580" w:lineRule="exact"/>
        <w:jc w:val="center"/>
        <w:rPr>
          <w:rFonts w:eastAsia="黑体"/>
          <w:sz w:val="36"/>
        </w:rPr>
      </w:pPr>
    </w:p>
    <w:p>
      <w:pPr>
        <w:spacing w:line="580" w:lineRule="exact"/>
        <w:jc w:val="center"/>
        <w:rPr>
          <w:rFonts w:eastAsia="黑体"/>
          <w:sz w:val="36"/>
        </w:rPr>
      </w:pPr>
    </w:p>
    <w:p>
      <w:pPr>
        <w:spacing w:line="580" w:lineRule="exact"/>
        <w:rPr>
          <w:rFonts w:eastAsia="黑体"/>
          <w:sz w:val="36"/>
        </w:rPr>
      </w:pPr>
    </w:p>
    <w:p>
      <w:pPr>
        <w:spacing w:line="580" w:lineRule="exact"/>
        <w:jc w:val="center"/>
        <w:rPr>
          <w:rFonts w:eastAsia="黑体"/>
          <w:sz w:val="36"/>
        </w:rPr>
      </w:pPr>
    </w:p>
    <w:p>
      <w:pPr>
        <w:spacing w:line="580" w:lineRule="exact"/>
        <w:rPr>
          <w:rFonts w:eastAsia="仿宋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640" w:lineRule="exact"/>
        <w:ind w:firstLine="863" w:firstLineChars="250"/>
        <w:rPr>
          <w:rFonts w:eastAsia="仿宋"/>
          <w:sz w:val="36"/>
          <w:szCs w:val="36"/>
          <w:u w:val="single"/>
        </w:rPr>
      </w:pPr>
      <w:r>
        <w:rPr>
          <w:rFonts w:eastAsia="仿宋"/>
          <w:sz w:val="36"/>
          <w:szCs w:val="36"/>
        </w:rPr>
        <w:t xml:space="preserve">    集体</w:t>
      </w:r>
      <w:r>
        <w:rPr>
          <w:rFonts w:hint="eastAsia" w:eastAsia="仿宋"/>
          <w:sz w:val="36"/>
          <w:szCs w:val="36"/>
        </w:rPr>
        <w:t>名称</w:t>
      </w:r>
      <w:r>
        <w:rPr>
          <w:rFonts w:eastAsia="仿宋"/>
          <w:sz w:val="36"/>
          <w:szCs w:val="36"/>
          <w:u w:val="single"/>
        </w:rPr>
        <w:t xml:space="preserve">  </w:t>
      </w:r>
      <w:r>
        <w:rPr>
          <w:rFonts w:hint="eastAsia" w:eastAsia="仿宋"/>
          <w:sz w:val="36"/>
          <w:szCs w:val="36"/>
          <w:u w:val="single"/>
        </w:rPr>
        <w:t>宿城区政府外事办公室</w:t>
      </w:r>
      <w:r>
        <w:rPr>
          <w:rFonts w:eastAsia="仿宋"/>
          <w:sz w:val="36"/>
          <w:szCs w:val="36"/>
          <w:u w:val="single"/>
        </w:rPr>
        <w:t xml:space="preserve"> </w:t>
      </w:r>
    </w:p>
    <w:p>
      <w:pPr>
        <w:tabs>
          <w:tab w:val="bar" w:pos="-1843"/>
          <w:tab w:val="bar" w:pos="-1701"/>
        </w:tabs>
        <w:spacing w:line="640" w:lineRule="exact"/>
        <w:ind w:firstLine="863" w:firstLineChars="250"/>
        <w:rPr>
          <w:rFonts w:eastAsia="仿宋"/>
          <w:sz w:val="36"/>
          <w:szCs w:val="36"/>
        </w:rPr>
      </w:pPr>
      <w:r>
        <w:rPr>
          <w:rFonts w:eastAsia="仿宋"/>
          <w:sz w:val="36"/>
          <w:szCs w:val="36"/>
        </w:rPr>
        <w:t xml:space="preserve">    </w:t>
      </w:r>
    </w:p>
    <w:p>
      <w:pPr>
        <w:tabs>
          <w:tab w:val="bar" w:pos="-1843"/>
          <w:tab w:val="bar" w:pos="-1701"/>
        </w:tabs>
        <w:spacing w:line="640" w:lineRule="exact"/>
        <w:ind w:firstLine="1208" w:firstLineChars="350"/>
        <w:rPr>
          <w:rFonts w:eastAsia="仿宋"/>
          <w:u w:val="single"/>
        </w:rPr>
      </w:pPr>
      <w:r>
        <w:rPr>
          <w:rFonts w:eastAsia="仿宋"/>
          <w:sz w:val="36"/>
          <w:szCs w:val="36"/>
        </w:rPr>
        <w:t xml:space="preserve">  </w:t>
      </w:r>
      <w:r>
        <w:rPr>
          <w:rFonts w:hint="eastAsia" w:eastAsia="仿宋"/>
          <w:sz w:val="36"/>
          <w:szCs w:val="36"/>
        </w:rPr>
        <w:t>推荐单位</w:t>
      </w:r>
      <w:r>
        <w:rPr>
          <w:rFonts w:eastAsia="仿宋"/>
          <w:sz w:val="36"/>
          <w:szCs w:val="36"/>
          <w:u w:val="single"/>
        </w:rPr>
        <w:t xml:space="preserve">  </w:t>
      </w:r>
      <w:r>
        <w:rPr>
          <w:rFonts w:hint="eastAsia" w:eastAsia="仿宋"/>
          <w:sz w:val="36"/>
          <w:szCs w:val="36"/>
          <w:u w:val="single"/>
        </w:rPr>
        <w:t xml:space="preserve">    </w:t>
      </w:r>
      <w:r>
        <w:rPr>
          <w:rFonts w:eastAsia="仿宋"/>
          <w:sz w:val="36"/>
          <w:szCs w:val="36"/>
          <w:u w:val="single"/>
        </w:rPr>
        <w:t xml:space="preserve"> </w:t>
      </w:r>
      <w:r>
        <w:rPr>
          <w:rFonts w:hint="eastAsia" w:eastAsia="仿宋"/>
          <w:sz w:val="36"/>
          <w:szCs w:val="36"/>
          <w:u w:val="single"/>
        </w:rPr>
        <w:t>宿迁市外办</w:t>
      </w:r>
      <w:r>
        <w:rPr>
          <w:rFonts w:eastAsia="仿宋"/>
          <w:sz w:val="36"/>
          <w:szCs w:val="36"/>
          <w:u w:val="single"/>
        </w:rPr>
        <w:t xml:space="preserve"> </w:t>
      </w:r>
      <w:r>
        <w:rPr>
          <w:rFonts w:hint="eastAsia" w:eastAsia="仿宋"/>
          <w:sz w:val="36"/>
          <w:szCs w:val="36"/>
          <w:u w:val="single"/>
        </w:rPr>
        <w:t xml:space="preserve"> </w:t>
      </w:r>
      <w:r>
        <w:rPr>
          <w:rFonts w:eastAsia="仿宋"/>
          <w:sz w:val="36"/>
          <w:szCs w:val="36"/>
          <w:u w:val="single"/>
        </w:rPr>
        <w:t xml:space="preserve">    </w:t>
      </w:r>
      <w:r>
        <w:rPr>
          <w:rFonts w:eastAsia="仿宋"/>
        </w:rPr>
        <w:t xml:space="preserve"> </w:t>
      </w:r>
    </w:p>
    <w:p>
      <w:pPr>
        <w:tabs>
          <w:tab w:val="bar" w:pos="-1843"/>
          <w:tab w:val="bar" w:pos="-1701"/>
        </w:tabs>
        <w:spacing w:line="580" w:lineRule="exact"/>
        <w:ind w:firstLine="1373" w:firstLineChars="450"/>
        <w:rPr>
          <w:rFonts w:eastAsia="仿宋"/>
          <w:u w:val="single"/>
        </w:rPr>
      </w:pPr>
    </w:p>
    <w:p>
      <w:pPr>
        <w:tabs>
          <w:tab w:val="bar" w:pos="-1843"/>
          <w:tab w:val="bar" w:pos="-1701"/>
        </w:tabs>
        <w:spacing w:line="580" w:lineRule="exact"/>
        <w:ind w:firstLine="1373" w:firstLineChars="450"/>
        <w:rPr>
          <w:rFonts w:eastAsia="仿宋"/>
          <w:u w:val="single"/>
        </w:rPr>
      </w:pPr>
    </w:p>
    <w:p>
      <w:pPr>
        <w:tabs>
          <w:tab w:val="bar" w:pos="-1843"/>
          <w:tab w:val="bar" w:pos="-1701"/>
        </w:tabs>
        <w:spacing w:line="580" w:lineRule="exact"/>
        <w:ind w:firstLine="1373" w:firstLineChars="450"/>
        <w:rPr>
          <w:rFonts w:eastAsia="仿宋"/>
          <w:u w:val="single"/>
        </w:rPr>
      </w:pPr>
    </w:p>
    <w:p>
      <w:pPr>
        <w:spacing w:line="580" w:lineRule="exact"/>
        <w:ind w:firstLine="1983" w:firstLineChars="650"/>
        <w:rPr>
          <w:rFonts w:eastAsia="仿宋"/>
        </w:rPr>
      </w:pPr>
    </w:p>
    <w:p>
      <w:pPr>
        <w:spacing w:line="580" w:lineRule="exact"/>
        <w:ind w:firstLine="1983" w:firstLineChars="650"/>
        <w:rPr>
          <w:rFonts w:eastAsia="仿宋"/>
        </w:rPr>
      </w:pPr>
    </w:p>
    <w:p>
      <w:pPr>
        <w:spacing w:line="580" w:lineRule="exact"/>
        <w:ind w:firstLine="1983" w:firstLineChars="650"/>
        <w:rPr>
          <w:rFonts w:eastAsia="仿宋"/>
        </w:rPr>
      </w:pPr>
    </w:p>
    <w:p>
      <w:pPr>
        <w:spacing w:line="580" w:lineRule="exact"/>
        <w:ind w:firstLine="1983" w:firstLineChars="650"/>
        <w:rPr>
          <w:rFonts w:eastAsia="仿宋"/>
        </w:rPr>
      </w:pPr>
    </w:p>
    <w:p>
      <w:pPr>
        <w:spacing w:line="580" w:lineRule="exact"/>
        <w:ind w:firstLine="1983" w:firstLineChars="650"/>
        <w:rPr>
          <w:rFonts w:eastAsia="仿宋"/>
        </w:rPr>
      </w:pPr>
    </w:p>
    <w:p>
      <w:pPr>
        <w:spacing w:line="580" w:lineRule="exact"/>
        <w:jc w:val="center"/>
        <w:rPr>
          <w:szCs w:val="32"/>
        </w:rPr>
      </w:pPr>
      <w:r>
        <w:rPr>
          <w:rFonts w:hint="eastAsia"/>
          <w:szCs w:val="32"/>
        </w:rPr>
        <w:t>填报时间：2019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年12月25日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eastAsia="仿宋"/>
          <w:b/>
          <w:sz w:val="36"/>
          <w:szCs w:val="36"/>
        </w:rPr>
        <w:br w:type="page"/>
      </w:r>
      <w:r>
        <w:rPr>
          <w:rFonts w:hint="eastAsia" w:ascii="方正小标宋_GBK" w:hAnsi="黑体" w:eastAsia="方正小标宋_GBK"/>
          <w:sz w:val="44"/>
          <w:szCs w:val="44"/>
        </w:rPr>
        <w:t>填 表 说 明</w:t>
      </w:r>
    </w:p>
    <w:p>
      <w:pPr>
        <w:ind w:firstLine="610" w:firstLineChars="200"/>
        <w:rPr>
          <w:rFonts w:ascii="仿宋_GB2312"/>
          <w:szCs w:val="32"/>
        </w:rPr>
      </w:pPr>
    </w:p>
    <w:p>
      <w:pPr>
        <w:spacing w:line="600" w:lineRule="exact"/>
        <w:ind w:firstLine="610" w:firstLineChars="200"/>
        <w:rPr>
          <w:rFonts w:ascii="黑体" w:hAnsi="黑体" w:eastAsia="黑体"/>
          <w:sz w:val="44"/>
          <w:szCs w:val="44"/>
        </w:rPr>
      </w:pPr>
      <w:r>
        <w:rPr>
          <w:rFonts w:hint="eastAsia" w:ascii="仿宋_GB2312"/>
          <w:szCs w:val="32"/>
        </w:rPr>
        <w:t>一、本表是江苏省外事系统先进集体推荐用表；</w:t>
      </w:r>
    </w:p>
    <w:p>
      <w:pPr>
        <w:spacing w:line="600" w:lineRule="exact"/>
        <w:ind w:firstLine="61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二、本表用打印方式填写，使用仿宋小四号字，数字统一使用阿拉伯数字；</w:t>
      </w:r>
    </w:p>
    <w:p>
      <w:pPr>
        <w:spacing w:line="600" w:lineRule="exact"/>
        <w:ind w:firstLine="64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三、主要先进事迹要求重点突出，字数</w:t>
      </w:r>
      <w:r>
        <w:rPr>
          <w:rFonts w:ascii="仿宋_GB2312"/>
          <w:szCs w:val="32"/>
        </w:rPr>
        <w:t>2000</w:t>
      </w:r>
      <w:r>
        <w:rPr>
          <w:rFonts w:hint="eastAsia" w:ascii="仿宋_GB2312"/>
          <w:szCs w:val="32"/>
        </w:rPr>
        <w:t>字以内；</w:t>
      </w:r>
    </w:p>
    <w:p>
      <w:pPr>
        <w:spacing w:line="600" w:lineRule="exact"/>
        <w:ind w:firstLine="64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四、本表上报一式</w:t>
      </w:r>
      <w:r>
        <w:rPr>
          <w:rFonts w:ascii="仿宋_GB2312"/>
          <w:szCs w:val="32"/>
        </w:rPr>
        <w:t>5</w:t>
      </w:r>
      <w:r>
        <w:rPr>
          <w:rFonts w:hint="eastAsia" w:ascii="仿宋_GB2312"/>
          <w:szCs w:val="32"/>
        </w:rPr>
        <w:t>份，规格为</w:t>
      </w:r>
      <w:r>
        <w:rPr>
          <w:rFonts w:ascii="仿宋_GB2312"/>
          <w:szCs w:val="32"/>
        </w:rPr>
        <w:t>A4</w:t>
      </w:r>
      <w:r>
        <w:rPr>
          <w:rFonts w:hint="eastAsia" w:ascii="仿宋_GB2312"/>
          <w:szCs w:val="32"/>
        </w:rPr>
        <w:t>纸双面打印。</w:t>
      </w:r>
    </w:p>
    <w:p>
      <w:pPr>
        <w:spacing w:line="580" w:lineRule="exact"/>
        <w:rPr>
          <w:rFonts w:eastAsia="黑体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701" w:right="1304" w:bottom="1985" w:left="1418" w:header="1361" w:footer="1588" w:gutter="0"/>
          <w:pgNumType w:fmt="numberInDash"/>
          <w:cols w:space="720" w:num="1"/>
          <w:docGrid w:type="linesAndChars" w:linePitch="552" w:charSpace="-3080"/>
        </w:sectPr>
      </w:pPr>
    </w:p>
    <w:tbl>
      <w:tblPr>
        <w:tblStyle w:val="4"/>
        <w:tblW w:w="96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500"/>
        <w:gridCol w:w="2124"/>
        <w:gridCol w:w="516"/>
        <w:gridCol w:w="1893"/>
        <w:gridCol w:w="2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集体所属单位</w:t>
            </w:r>
          </w:p>
        </w:tc>
        <w:tc>
          <w:tcPr>
            <w:tcW w:w="212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宿城区政府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集体人数</w:t>
            </w:r>
          </w:p>
        </w:tc>
        <w:tc>
          <w:tcPr>
            <w:tcW w:w="264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集体负责人姓名</w:t>
            </w:r>
          </w:p>
        </w:tc>
        <w:tc>
          <w:tcPr>
            <w:tcW w:w="212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张胜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集体负责人联系电话</w:t>
            </w:r>
          </w:p>
        </w:tc>
        <w:tc>
          <w:tcPr>
            <w:tcW w:w="26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13815793997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集体负责人单位电话</w:t>
            </w:r>
          </w:p>
        </w:tc>
        <w:tc>
          <w:tcPr>
            <w:tcW w:w="212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0527-82960606</w:t>
            </w:r>
          </w:p>
        </w:tc>
        <w:tc>
          <w:tcPr>
            <w:tcW w:w="24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集体负责人单位邮编</w:t>
            </w:r>
          </w:p>
        </w:tc>
        <w:tc>
          <w:tcPr>
            <w:tcW w:w="26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223800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集体负责人单位地址</w:t>
            </w:r>
          </w:p>
        </w:tc>
        <w:tc>
          <w:tcPr>
            <w:tcW w:w="71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宿迁市宿城区成子湖路1号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何时何地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受过何种奖励</w:t>
            </w:r>
          </w:p>
        </w:tc>
        <w:tc>
          <w:tcPr>
            <w:tcW w:w="7177" w:type="dxa"/>
            <w:gridSpan w:val="4"/>
            <w:vAlign w:val="center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2018年，获批“全省侨办系统先进集体”</w:t>
            </w:r>
          </w:p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2014-2018年，连续获批“全市外事工作先进集体”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主要先进事迹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宿城区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政府</w:t>
            </w:r>
            <w:r>
              <w:rPr>
                <w:rFonts w:hint="eastAsia" w:ascii="仿宋_GB2312"/>
                <w:sz w:val="28"/>
                <w:szCs w:val="28"/>
              </w:rPr>
              <w:t>外事办公室自成立以来，紧紧围绕地方中心工作,切实履行外事职能，在区委、区政府正确领导下，在省、市外办的指导支持下，迎难而上，务实苦干，开拓创新，不断建立健全外事工作体制机制，优化外事工作流程，抓好重大涉外工作的协调、服务，主动服务对外经贸合作和对外文化交流，积极开拓外事工作新局面，实现宿城区外事工作持续向好的良好态势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面对资源基础短板，开拓创新挖掘潜力。宿城区建区较晚，1996年才伴随地级宿迁市的成立而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设</w:t>
            </w:r>
            <w:r>
              <w:rPr>
                <w:rFonts w:hint="eastAsia" w:ascii="仿宋_GB2312"/>
                <w:sz w:val="28"/>
                <w:szCs w:val="28"/>
              </w:rPr>
              <w:t>立，加上地理位置偏僻，科教文化资源匮乏，宿城区“走出去”的人才资源偏少，宿城区对外交往的渠道很窄，外事工作基础十分薄弱。在外事工作发展较晚、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基础</w:t>
            </w:r>
            <w:r>
              <w:rPr>
                <w:rFonts w:hint="eastAsia" w:ascii="仿宋_GB2312"/>
                <w:sz w:val="28"/>
                <w:szCs w:val="28"/>
              </w:rPr>
              <w:t>条件较差的情况下，我们没有气馁，没有畏难，而是主动沉下心来，扑下身子，开动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脑筋</w:t>
            </w:r>
            <w:r>
              <w:rPr>
                <w:rFonts w:hint="eastAsia" w:ascii="仿宋_GB2312"/>
                <w:sz w:val="28"/>
                <w:szCs w:val="28"/>
              </w:rPr>
              <w:t>，想尽一切办法搜寻外事资源，想尽一切办法拓宽对外交往渠道。一是主动深入乡镇街道“走街串巷”挖掘外事资源。面对外事资源“一穷二白”窘境，我们主动克服自身工作人手不足的困难，根据乡镇街道提供的信息线索，用“两条腿”深入街头巷尾“地毯式”搜寻，用真心真情去和群众沟通，搜集到很多有价值的外事资源。二是</w:t>
            </w:r>
            <w:r>
              <w:rPr>
                <w:rFonts w:ascii="仿宋_GB2312"/>
                <w:sz w:val="28"/>
                <w:szCs w:val="28"/>
              </w:rPr>
              <w:t>牵头开展</w:t>
            </w:r>
            <w:r>
              <w:rPr>
                <w:rFonts w:hint="eastAsia" w:ascii="仿宋_GB2312"/>
                <w:sz w:val="28"/>
                <w:szCs w:val="28"/>
              </w:rPr>
              <w:t>外侨资源</w:t>
            </w:r>
            <w:r>
              <w:rPr>
                <w:rFonts w:ascii="仿宋_GB2312"/>
                <w:sz w:val="28"/>
                <w:szCs w:val="28"/>
              </w:rPr>
              <w:t>普查，</w:t>
            </w:r>
            <w:r>
              <w:rPr>
                <w:rFonts w:hint="eastAsia" w:ascii="仿宋_GB2312"/>
                <w:sz w:val="28"/>
                <w:szCs w:val="28"/>
              </w:rPr>
              <w:t>建立外侨资源信息库。制定详细工作方案，邀请区分管领导牵头召开交办会，交办各乡镇街道、园区深入开展外事资源普查，汇总形成全区外事资源信息库，并动态完善。三是与开发区、园区等经济主阵地建立信息共享互通机制。与开发区、园区建立沟通共享机制，园区及时将企业对外资本、技术、产品的合作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需求</w:t>
            </w:r>
            <w:r>
              <w:rPr>
                <w:rFonts w:hint="eastAsia" w:ascii="仿宋_GB2312"/>
                <w:sz w:val="28"/>
                <w:szCs w:val="28"/>
              </w:rPr>
              <w:t>信息通报给外办，同时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我们及时</w:t>
            </w:r>
            <w:r>
              <w:rPr>
                <w:rFonts w:hint="eastAsia" w:ascii="仿宋_GB2312"/>
                <w:sz w:val="28"/>
                <w:szCs w:val="28"/>
              </w:rPr>
              <w:t>将一些最新对外信息通知园区企业，助推企业对外合作开展。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2、持续</w:t>
            </w:r>
            <w:r>
              <w:rPr>
                <w:rFonts w:ascii="仿宋_GB2312"/>
                <w:sz w:val="28"/>
                <w:szCs w:val="28"/>
              </w:rPr>
              <w:t>完善工作机制，规范工作流程。</w:t>
            </w:r>
            <w:r>
              <w:rPr>
                <w:rFonts w:hint="eastAsia" w:ascii="仿宋_GB2312"/>
                <w:sz w:val="28"/>
                <w:szCs w:val="28"/>
              </w:rPr>
              <w:t>宿城区外事工作基础较薄弱，自外办成立以来，在宿迁市外办的指导下不断完善工作机制体制，制定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了</w:t>
            </w:r>
            <w:r>
              <w:rPr>
                <w:rFonts w:hint="eastAsia" w:ascii="仿宋_GB2312"/>
                <w:sz w:val="28"/>
                <w:szCs w:val="28"/>
              </w:rPr>
              <w:t>宿城区外事工作相关条例，规范外事管理，加强外事人才的引进和培养。尤其是2019年，宿城区外办</w:t>
            </w:r>
            <w:r>
              <w:rPr>
                <w:rFonts w:ascii="仿宋_GB2312"/>
                <w:sz w:val="28"/>
                <w:szCs w:val="28"/>
              </w:rPr>
              <w:t>以全区机构改革、人员调整为契机，</w:t>
            </w:r>
            <w:r>
              <w:rPr>
                <w:rFonts w:hint="eastAsia" w:ascii="仿宋_GB2312"/>
                <w:sz w:val="28"/>
                <w:szCs w:val="28"/>
              </w:rPr>
              <w:t>再次优化外事系统干部队伍，并对</w:t>
            </w:r>
            <w:r>
              <w:rPr>
                <w:rFonts w:ascii="仿宋_GB2312"/>
                <w:sz w:val="28"/>
                <w:szCs w:val="28"/>
              </w:rPr>
              <w:t>因公出国（境）团组管理的流程进行再细化、再完善，拟定《宿城区因公出国（境）经费管理办法》</w:t>
            </w:r>
            <w:r>
              <w:rPr>
                <w:rFonts w:hint="eastAsia" w:ascii="仿宋_GB2312"/>
                <w:sz w:val="28"/>
                <w:szCs w:val="28"/>
              </w:rPr>
              <w:t>，</w:t>
            </w:r>
            <w:r>
              <w:rPr>
                <w:rFonts w:ascii="仿宋_GB2312"/>
                <w:sz w:val="28"/>
                <w:szCs w:val="28"/>
              </w:rPr>
              <w:t>细化梳理《因公出国（境）团组办理流程图》，将因公出国（境）管理制度贯彻到每个工作岗位及工作流程当中，确保业务操作统一、规范、安全，经费使用透明、合理、节约，不断提升宿城区因公出国（境）管理的规范化、流程化水平。</w:t>
            </w:r>
            <w:r>
              <w:rPr>
                <w:rFonts w:hint="eastAsia" w:ascii="仿宋_GB2312"/>
                <w:sz w:val="28"/>
                <w:szCs w:val="28"/>
              </w:rPr>
              <w:t>同时，我们进一步规范优化邀请外国人来华手续办理流程，主动服务企业APEC商务卡办理，没有发生一起因为办理手续提出不满意的情况，工作规范化水平得到认可。此外，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宿城区</w:t>
            </w:r>
            <w:r>
              <w:rPr>
                <w:rFonts w:hint="eastAsia" w:ascii="仿宋_GB2312"/>
                <w:sz w:val="28"/>
                <w:szCs w:val="28"/>
              </w:rPr>
              <w:t>成立了区委外事工作委员会，外事系统党管外事的体制更加完善。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3、拓宽对外交往渠道，主动服务大局。一是主动服务招引外资。宿城区外办始终</w:t>
            </w:r>
            <w:r>
              <w:rPr>
                <w:rFonts w:ascii="仿宋_GB2312"/>
                <w:sz w:val="28"/>
                <w:szCs w:val="28"/>
              </w:rPr>
              <w:t>以交流更实、成果更丰为工作目标</w:t>
            </w:r>
            <w:r>
              <w:rPr>
                <w:rFonts w:hint="eastAsia" w:ascii="仿宋_GB2312"/>
                <w:sz w:val="28"/>
                <w:szCs w:val="28"/>
              </w:rPr>
              <w:t>，</w:t>
            </w:r>
            <w:r>
              <w:rPr>
                <w:rFonts w:ascii="仿宋_GB2312"/>
                <w:sz w:val="28"/>
                <w:szCs w:val="28"/>
              </w:rPr>
              <w:t>储备招商引智资源</w:t>
            </w:r>
            <w:r>
              <w:rPr>
                <w:rFonts w:hint="eastAsia" w:ascii="仿宋_GB2312"/>
                <w:sz w:val="28"/>
                <w:szCs w:val="28"/>
              </w:rPr>
              <w:t>，利用因公团组出访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机会</w:t>
            </w:r>
            <w:r>
              <w:rPr>
                <w:rFonts w:hint="eastAsia" w:ascii="仿宋_GB2312"/>
                <w:sz w:val="28"/>
                <w:szCs w:val="28"/>
              </w:rPr>
              <w:t>积极实现经贸招商成果，尤其是对欧洲特别对德国经贸招商上实现了很好的突破成果，与德国通快公司、德国科特玛公司、德国激光技术研究所、奥中商业协会都保持着密切的互动关系，2019年成功签约2个德国合作项目、2个法国合作项目，总投资超1亿欧元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/>
                <w:sz w:val="28"/>
                <w:szCs w:val="28"/>
              </w:rPr>
              <w:t>2020年有望再实现2个法国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招商</w:t>
            </w:r>
            <w:r>
              <w:rPr>
                <w:rFonts w:hint="eastAsia" w:ascii="仿宋_GB2312"/>
                <w:sz w:val="28"/>
                <w:szCs w:val="28"/>
              </w:rPr>
              <w:t>项目、1个瑞士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招商</w:t>
            </w:r>
            <w:r>
              <w:rPr>
                <w:rFonts w:hint="eastAsia" w:ascii="仿宋_GB2312"/>
                <w:sz w:val="28"/>
                <w:szCs w:val="28"/>
              </w:rPr>
              <w:t>项目签约。二是多次举办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外事</w:t>
            </w:r>
            <w:r>
              <w:rPr>
                <w:rFonts w:hint="eastAsia" w:ascii="仿宋_GB2312"/>
                <w:sz w:val="28"/>
                <w:szCs w:val="28"/>
              </w:rPr>
              <w:t>活动凝聚外事资源。分别在</w:t>
            </w:r>
            <w:r>
              <w:rPr>
                <w:rFonts w:ascii="仿宋_GB2312"/>
                <w:sz w:val="28"/>
                <w:szCs w:val="28"/>
              </w:rPr>
              <w:t>上海</w:t>
            </w:r>
            <w:r>
              <w:rPr>
                <w:rFonts w:hint="eastAsia" w:ascii="仿宋_GB2312"/>
                <w:sz w:val="28"/>
                <w:szCs w:val="28"/>
              </w:rPr>
              <w:t>、常熟、深圳等地</w:t>
            </w:r>
            <w:r>
              <w:rPr>
                <w:rFonts w:ascii="仿宋_GB2312"/>
                <w:sz w:val="28"/>
                <w:szCs w:val="28"/>
              </w:rPr>
              <w:t>召开专题</w:t>
            </w:r>
            <w:r>
              <w:rPr>
                <w:rFonts w:hint="eastAsia" w:ascii="仿宋_GB2312"/>
                <w:sz w:val="28"/>
                <w:szCs w:val="28"/>
              </w:rPr>
              <w:t>外资</w:t>
            </w:r>
            <w:r>
              <w:rPr>
                <w:rFonts w:ascii="仿宋_GB2312"/>
                <w:sz w:val="28"/>
                <w:szCs w:val="28"/>
              </w:rPr>
              <w:t>招商推介会，</w:t>
            </w:r>
            <w:r>
              <w:rPr>
                <w:rFonts w:hint="eastAsia" w:ascii="仿宋_GB2312"/>
                <w:sz w:val="28"/>
                <w:szCs w:val="28"/>
              </w:rPr>
              <w:t>宣传宿城区良好的对外招商环境和优惠政策，吸引凝聚了一批意向外事资源。同时举办“</w:t>
            </w:r>
            <w:r>
              <w:rPr>
                <w:rFonts w:ascii="仿宋_GB2312"/>
                <w:sz w:val="28"/>
                <w:szCs w:val="28"/>
              </w:rPr>
              <w:t>心系侨眷·情暖侨心</w:t>
            </w:r>
            <w:r>
              <w:rPr>
                <w:rFonts w:hint="eastAsia" w:ascii="仿宋_GB2312"/>
                <w:sz w:val="28"/>
                <w:szCs w:val="28"/>
              </w:rPr>
              <w:t>”系列活动以及“</w:t>
            </w:r>
            <w:r>
              <w:rPr>
                <w:rFonts w:ascii="仿宋_GB2312"/>
                <w:sz w:val="28"/>
                <w:szCs w:val="28"/>
              </w:rPr>
              <w:t>聆听你们的故事</w:t>
            </w:r>
            <w:r>
              <w:rPr>
                <w:rFonts w:hint="eastAsia" w:ascii="仿宋_GB2312"/>
                <w:sz w:val="28"/>
                <w:szCs w:val="28"/>
              </w:rPr>
              <w:t>”</w:t>
            </w:r>
            <w:r>
              <w:rPr>
                <w:rFonts w:ascii="仿宋_GB2312"/>
                <w:sz w:val="28"/>
                <w:szCs w:val="28"/>
              </w:rPr>
              <w:t>侨胞侨眷</w:t>
            </w:r>
            <w:r>
              <w:rPr>
                <w:rFonts w:hint="eastAsia" w:ascii="仿宋_GB2312"/>
                <w:sz w:val="28"/>
                <w:szCs w:val="28"/>
              </w:rPr>
              <w:t>系列</w:t>
            </w:r>
            <w:r>
              <w:rPr>
                <w:rFonts w:ascii="仿宋_GB2312"/>
                <w:sz w:val="28"/>
                <w:szCs w:val="28"/>
              </w:rPr>
              <w:t>主题座谈</w:t>
            </w:r>
            <w:r>
              <w:rPr>
                <w:rFonts w:hint="eastAsia" w:ascii="仿宋_GB2312"/>
                <w:sz w:val="28"/>
                <w:szCs w:val="28"/>
              </w:rPr>
              <w:t>，为宿城区“走出去”奠定良好基础。三是文化教育交流开展有声有色。与</w:t>
            </w:r>
            <w:r>
              <w:rPr>
                <w:rFonts w:ascii="仿宋_GB2312"/>
                <w:sz w:val="28"/>
                <w:szCs w:val="28"/>
              </w:rPr>
              <w:t>罗马尼亚特什纳德市</w:t>
            </w:r>
            <w:r>
              <w:rPr>
                <w:rFonts w:hint="eastAsia" w:ascii="仿宋_GB2312"/>
                <w:sz w:val="28"/>
                <w:szCs w:val="28"/>
              </w:rPr>
              <w:t>缔结国际友好城市</w:t>
            </w:r>
            <w:r>
              <w:rPr>
                <w:rFonts w:ascii="仿宋_GB2312"/>
                <w:sz w:val="28"/>
                <w:szCs w:val="28"/>
              </w:rPr>
              <w:t>，罗马尼亚特什纳德市</w:t>
            </w:r>
            <w:r>
              <w:rPr>
                <w:rFonts w:hint="eastAsia" w:ascii="仿宋_GB2312"/>
                <w:sz w:val="28"/>
                <w:szCs w:val="28"/>
              </w:rPr>
              <w:t>中学与我区的南师附中宿迁分校结为国际友好学校，邀请罗马尼亚</w:t>
            </w:r>
            <w:r>
              <w:rPr>
                <w:rFonts w:ascii="仿宋_GB2312"/>
                <w:sz w:val="28"/>
                <w:szCs w:val="28"/>
              </w:rPr>
              <w:t>特什纳德市</w:t>
            </w:r>
            <w:r>
              <w:rPr>
                <w:rFonts w:hint="eastAsia" w:ascii="仿宋_GB2312"/>
                <w:sz w:val="28"/>
                <w:szCs w:val="28"/>
              </w:rPr>
              <w:t>参加江苏省第三届友城青少年绘画比赛，获得优秀组织奖和作品奖项。</w:t>
            </w:r>
            <w:r>
              <w:rPr>
                <w:rFonts w:ascii="仿宋_GB2312"/>
                <w:sz w:val="28"/>
                <w:szCs w:val="28"/>
              </w:rPr>
              <w:t>选派华文教师赴印尼开展学术交流，不断加深与欧亚国家的交往</w:t>
            </w:r>
            <w:r>
              <w:rPr>
                <w:rFonts w:hint="eastAsia" w:ascii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各级人力资源社会保障部门、外事部门推荐审核意见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br w:type="textWrapping"/>
            </w:r>
            <w:r>
              <w:rPr>
                <w:rFonts w:hint="eastAsia" w:ascii="仿宋_GB2312"/>
                <w:sz w:val="24"/>
              </w:rPr>
              <w:t>县  级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560" w:firstLineChars="6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</w:t>
            </w:r>
          </w:p>
          <w:p>
            <w:pPr>
              <w:spacing w:line="560" w:lineRule="exact"/>
              <w:ind w:firstLine="1440" w:firstLineChars="6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</w:t>
            </w: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800" w:firstLineChars="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</w:t>
            </w:r>
          </w:p>
          <w:p>
            <w:pPr>
              <w:spacing w:line="560" w:lineRule="exact"/>
              <w:ind w:right="480" w:firstLine="1680" w:firstLineChars="7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地市级</w:t>
            </w:r>
          </w:p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</w:t>
            </w:r>
          </w:p>
          <w:p>
            <w:pPr>
              <w:spacing w:line="560" w:lineRule="exact"/>
              <w:ind w:firstLine="1200" w:firstLineChars="5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1200" w:firstLineChars="500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920" w:firstLineChars="8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</w:t>
            </w:r>
          </w:p>
          <w:p>
            <w:pPr>
              <w:spacing w:line="560" w:lineRule="exact"/>
              <w:ind w:firstLine="1800" w:firstLineChars="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  级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560" w:firstLineChars="6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</w:t>
            </w:r>
          </w:p>
          <w:p>
            <w:pPr>
              <w:spacing w:line="560" w:lineRule="exact"/>
              <w:ind w:firstLine="1320" w:firstLineChars="5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  <w:tc>
          <w:tcPr>
            <w:tcW w:w="4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</w:p>
          <w:p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</w:t>
            </w: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ind w:firstLine="1800" w:firstLineChars="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（盖  章）</w:t>
            </w:r>
          </w:p>
          <w:p>
            <w:pPr>
              <w:spacing w:line="560" w:lineRule="exact"/>
              <w:ind w:right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rStyle w:val="6"/>
        <w:sz w:val="28"/>
        <w:szCs w:val="28"/>
      </w:rP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- 14 -</w:t>
    </w:r>
    <w:r>
      <w:rPr>
        <w:rStyle w:val="6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B7B8"/>
    <w:multiLevelType w:val="singleLevel"/>
    <w:tmpl w:val="48F3B7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0E2"/>
    <w:rsid w:val="00031146"/>
    <w:rsid w:val="000846F7"/>
    <w:rsid w:val="00097318"/>
    <w:rsid w:val="00114AC6"/>
    <w:rsid w:val="001809BD"/>
    <w:rsid w:val="002E4F8B"/>
    <w:rsid w:val="00321441"/>
    <w:rsid w:val="003C0AE3"/>
    <w:rsid w:val="004576FE"/>
    <w:rsid w:val="004A3BD7"/>
    <w:rsid w:val="004E2B59"/>
    <w:rsid w:val="006B30E2"/>
    <w:rsid w:val="006C28CC"/>
    <w:rsid w:val="007F324D"/>
    <w:rsid w:val="007F7921"/>
    <w:rsid w:val="008D3F99"/>
    <w:rsid w:val="008F415F"/>
    <w:rsid w:val="009E5737"/>
    <w:rsid w:val="00A65659"/>
    <w:rsid w:val="00AA4D1D"/>
    <w:rsid w:val="00B10BAB"/>
    <w:rsid w:val="00C908B3"/>
    <w:rsid w:val="00CF71C3"/>
    <w:rsid w:val="00D36C3E"/>
    <w:rsid w:val="00EF034D"/>
    <w:rsid w:val="00F003DC"/>
    <w:rsid w:val="00F205F5"/>
    <w:rsid w:val="00FA4995"/>
    <w:rsid w:val="00FC1E03"/>
    <w:rsid w:val="0BB438EA"/>
    <w:rsid w:val="275B01F7"/>
    <w:rsid w:val="680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322</Words>
  <Characters>1842</Characters>
  <Lines>15</Lines>
  <Paragraphs>4</Paragraphs>
  <TotalTime>1</TotalTime>
  <ScaleCrop>false</ScaleCrop>
  <LinksUpToDate>false</LinksUpToDate>
  <CharactersWithSpaces>2160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2019-12-25T03:33:00Z</dcterms:created>
  <dc:creator>Administrator</dc:creator>
  <cp:lastModifiedBy>越活越明白</cp:lastModifiedBy>
  <dcterms:modified xsi:type="dcterms:W3CDTF">2019-12-27T06:41:44Z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