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jc w:val="center"/>
        <w:textAlignment w:val="auto"/>
        <w:rPr>
          <w:rFonts w:ascii="Times New Roman" w:hAnsi="Times New Roman" w:eastAsia="方正小标宋简体" w:cs="Times New Roman"/>
          <w:sz w:val="44"/>
          <w:szCs w:val="44"/>
        </w:rPr>
      </w:pPr>
      <w:bookmarkStart w:id="0" w:name="_GoBack"/>
      <w:bookmarkEnd w:id="0"/>
      <w:r>
        <w:rPr>
          <w:rFonts w:ascii="Times New Roman" w:hAnsi="Times New Roman" w:eastAsia="方正小标宋简体" w:cs="Times New Roman"/>
          <w:sz w:val="44"/>
          <w:szCs w:val="44"/>
        </w:rPr>
        <w:t>宿迁市人民政府外事办公室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jc w:val="center"/>
        <w:textAlignment w:val="auto"/>
        <w:rPr>
          <w:rFonts w:ascii="Times New Roman" w:hAnsi="Times New Roman" w:eastAsia="方正小标宋简体" w:cs="Times New Roman"/>
          <w:sz w:val="44"/>
          <w:szCs w:val="44"/>
        </w:rPr>
      </w:pPr>
      <w:r>
        <w:rPr>
          <w:rFonts w:ascii="Times New Roman" w:hAnsi="Times New Roman" w:eastAsia="方正小标宋简体" w:cs="Times New Roman"/>
          <w:sz w:val="44"/>
          <w:szCs w:val="44"/>
        </w:rPr>
        <w:t>201</w:t>
      </w: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8</w:t>
      </w:r>
      <w:r>
        <w:rPr>
          <w:rFonts w:ascii="Times New Roman" w:hAnsi="Times New Roman" w:eastAsia="方正小标宋简体" w:cs="Times New Roman"/>
          <w:sz w:val="44"/>
          <w:szCs w:val="44"/>
        </w:rPr>
        <w:t>年</w:t>
      </w:r>
      <w:r>
        <w:rPr>
          <w:rFonts w:hint="eastAsia" w:ascii="Times New Roman" w:hAnsi="Times New Roman" w:eastAsia="方正小标宋简体" w:cs="Times New Roman"/>
          <w:sz w:val="44"/>
          <w:szCs w:val="44"/>
        </w:rPr>
        <w:t>政府信息公开年度</w:t>
      </w:r>
      <w:r>
        <w:rPr>
          <w:rFonts w:ascii="Times New Roman" w:hAnsi="Times New Roman" w:eastAsia="方正小标宋简体" w:cs="Times New Roman"/>
          <w:sz w:val="44"/>
          <w:szCs w:val="44"/>
        </w:rPr>
        <w:t>报告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jc w:val="center"/>
        <w:textAlignment w:val="auto"/>
        <w:rPr>
          <w:rFonts w:ascii="Times New Roman" w:hAnsi="Times New Roman" w:eastAsia="方正楷体简体" w:cs="Times New Roman"/>
          <w:sz w:val="32"/>
          <w:szCs w:val="32"/>
        </w:rPr>
      </w:pPr>
      <w:r>
        <w:rPr>
          <w:rFonts w:ascii="Times New Roman" w:hAnsi="Times New Roman" w:eastAsia="方正楷体简体" w:cs="Times New Roman"/>
          <w:sz w:val="32"/>
          <w:szCs w:val="32"/>
        </w:rPr>
        <w:t>（201</w:t>
      </w:r>
      <w:r>
        <w:rPr>
          <w:rFonts w:hint="eastAsia" w:ascii="Times New Roman" w:hAnsi="Times New Roman" w:eastAsia="方正楷体简体" w:cs="Times New Roman"/>
          <w:sz w:val="32"/>
          <w:szCs w:val="32"/>
          <w:lang w:val="en-US" w:eastAsia="zh-CN"/>
        </w:rPr>
        <w:t>9</w:t>
      </w:r>
      <w:r>
        <w:rPr>
          <w:rFonts w:ascii="Times New Roman" w:hAnsi="Times New Roman" w:eastAsia="方正楷体简体" w:cs="Times New Roman"/>
          <w:sz w:val="32"/>
          <w:szCs w:val="32"/>
        </w:rPr>
        <w:t>年2月</w:t>
      </w:r>
      <w:r>
        <w:rPr>
          <w:rFonts w:hint="eastAsia" w:ascii="Times New Roman" w:hAnsi="Times New Roman" w:eastAsia="方正楷体简体" w:cs="Times New Roman"/>
          <w:sz w:val="32"/>
          <w:szCs w:val="32"/>
          <w:lang w:val="en-US" w:eastAsia="zh-CN"/>
        </w:rPr>
        <w:t>20</w:t>
      </w:r>
      <w:r>
        <w:rPr>
          <w:rFonts w:ascii="Times New Roman" w:hAnsi="Times New Roman" w:eastAsia="方正楷体简体" w:cs="Times New Roman"/>
          <w:sz w:val="32"/>
          <w:szCs w:val="32"/>
        </w:rPr>
        <w:t>日）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firstLine="63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firstLine="63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本报告根据《中华人民共和国政府信息公开条例》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（以下简称《条例》）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规定编制，内容包括政府信息公开情况（含主动公开、依申请公开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不予公开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收费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及减免情况、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因政府信息公开申请行政复议和提起行政诉讼情况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以及其他需报告事项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）、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要点落实情况、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人大代表建议和政协委员提案办理结果公开情况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和工作中特色亮点做法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等。本年报所列数据的统计期限自201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年1月1日起至201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年12月31日止。本报告通过宿迁市政府信息公开网（http://www. Suqian.gov.cn）和宿迁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市人民政府外事办公室网站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（http://sqwsb.suqian.gov.cn/）、图书馆政府信息公开公共查阅场所公布。如对报告有任何疑问，请与宿迁市人民政府外事办公室联系（地址：宿迁市洪泽湖西路海关大厦1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2A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楼，邮政编码：223800，联系电话：0527—84368680，电子邮箱地址：</w:t>
      </w:r>
      <w:r>
        <w:rPr>
          <w:rFonts w:hint="default" w:ascii="Times New Roman" w:hAnsi="Times New Roman" w:eastAsia="方正仿宋_GBK" w:cs="Times New Roman"/>
        </w:rPr>
        <w:fldChar w:fldCharType="begin"/>
      </w:r>
      <w:r>
        <w:rPr>
          <w:rFonts w:hint="default" w:ascii="Times New Roman" w:hAnsi="Times New Roman" w:eastAsia="方正仿宋_GBK" w:cs="Times New Roman"/>
        </w:rPr>
        <w:instrText xml:space="preserve"> HYPERLINK "mailto:sqwsbgs@163.com" </w:instrText>
      </w:r>
      <w:r>
        <w:rPr>
          <w:rFonts w:hint="default" w:ascii="Times New Roman" w:hAnsi="Times New Roman" w:eastAsia="方正仿宋_GBK" w:cs="Times New Roman"/>
        </w:rPr>
        <w:fldChar w:fldCharType="separate"/>
      </w:r>
      <w:r>
        <w:rPr>
          <w:rStyle w:val="12"/>
          <w:rFonts w:hint="default" w:ascii="Times New Roman" w:hAnsi="Times New Roman" w:eastAsia="方正仿宋_GBK" w:cs="Times New Roman"/>
          <w:sz w:val="32"/>
          <w:szCs w:val="32"/>
        </w:rPr>
        <w:t>sqwsbgs@163.com</w:t>
      </w:r>
      <w:r>
        <w:rPr>
          <w:rStyle w:val="12"/>
          <w:rFonts w:hint="default" w:ascii="Times New Roman" w:hAnsi="Times New Roman" w:eastAsia="方正仿宋_GBK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K" w:cs="Times New Roman"/>
          <w:sz w:val="32"/>
          <w:szCs w:val="32"/>
        </w:rPr>
        <w:t>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firstLine="630"/>
        <w:textAlignment w:val="auto"/>
        <w:rPr>
          <w:rFonts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sz w:val="32"/>
          <w:szCs w:val="32"/>
        </w:rPr>
        <w:t>一、</w:t>
      </w:r>
      <w:r>
        <w:rPr>
          <w:rFonts w:hint="eastAsia" w:ascii="Times New Roman" w:hAnsi="黑体" w:eastAsia="黑体" w:cs="Times New Roman"/>
          <w:sz w:val="32"/>
          <w:szCs w:val="32"/>
        </w:rPr>
        <w:t>政府信息</w:t>
      </w:r>
      <w:r>
        <w:rPr>
          <w:rFonts w:ascii="Times New Roman" w:hAnsi="黑体" w:eastAsia="黑体" w:cs="Times New Roman"/>
          <w:sz w:val="32"/>
          <w:szCs w:val="32"/>
        </w:rPr>
        <w:t>公开工作情况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firstLine="629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ascii="方正楷体简体" w:hAnsi="Times New Roman" w:eastAsia="方正楷体简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（一）主动公开情况。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201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年，我办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主动公开信息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483条，其中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在网上宿迁门户网站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和本部门网站政府信息公开栏目主动公开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78条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，通过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部门网站发布概况类、政务动态等信息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227条，政务微博发布信息123条，政务微信推送信息55条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。</w:t>
      </w:r>
    </w:p>
    <w:p>
      <w:pPr>
        <w:spacing w:after="0" w:line="240" w:lineRule="auto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391150" cy="4099560"/>
            <wp:effectExtent l="0" t="0" r="0" b="15240"/>
            <wp:docPr id="2" name="图片 2" descr="信息公开-网上宿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信息公开-网上宿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44450</wp:posOffset>
            </wp:positionV>
            <wp:extent cx="5607050" cy="4186555"/>
            <wp:effectExtent l="0" t="0" r="12700" b="4445"/>
            <wp:wrapNone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4186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after="0" w:line="240" w:lineRule="auto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after="0" w:line="240" w:lineRule="auto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after="0" w:line="240" w:lineRule="auto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after="0" w:line="240" w:lineRule="auto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after="0" w:line="240" w:lineRule="auto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after="0" w:line="240" w:lineRule="auto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after="0" w:line="240" w:lineRule="auto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after="0" w:line="240" w:lineRule="auto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after="0" w:line="240" w:lineRule="auto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after="0" w:line="240" w:lineRule="auto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after="0" w:line="240" w:lineRule="auto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after="0" w:line="240" w:lineRule="auto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after="0" w:line="240" w:lineRule="auto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after="0" w:line="240" w:lineRule="auto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after="0" w:line="58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ascii="方正楷体简体" w:hAnsi="Times New Roman" w:eastAsia="方正楷体简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方正楷体简体" w:hAnsi="Times New Roman" w:eastAsia="方正楷体简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依申请公开方面和不予公开政府信息的情况。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我办依申请公开工作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严格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按照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依申请公开的原则和处理程序办理。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201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8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年度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，收到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依申请公开政府信息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1件，我办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严格按照法定时限答复，增强答复内容针对性并明示救济渠道，答复形式严谨规范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。无不予公开的政府信息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N/>
        <w:bidi w:val="0"/>
        <w:adjustRightInd w:val="0"/>
        <w:snapToGrid w:val="0"/>
        <w:spacing w:after="0" w:line="58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方正仿宋_GBK" w:hAnsi="方正仿宋_GBK" w:eastAsia="方正仿宋_GBK" w:cs="方正仿宋_GBK"/>
          <w:b w:val="0"/>
          <w:i w:val="0"/>
          <w:caps w:val="0"/>
          <w:color w:val="000000"/>
          <w:spacing w:val="0"/>
          <w:kern w:val="2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方正楷体简体" w:hAnsi="Times New Roman" w:eastAsia="方正楷体简体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（三）</w:t>
      </w:r>
      <w:r>
        <w:rPr>
          <w:rFonts w:hint="eastAsia" w:ascii="方正楷体简体" w:hAnsi="Times New Roman" w:eastAsia="方正楷体简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收费及减免方面。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没有向任何组织、公民和法人收取费用。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N/>
        <w:bidi w:val="0"/>
        <w:adjustRightInd w:val="0"/>
        <w:snapToGrid w:val="0"/>
        <w:spacing w:after="0" w:line="58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</w:rPr>
      </w:pPr>
      <w:r>
        <w:rPr>
          <w:rFonts w:hint="eastAsia" w:ascii="方正楷体简体" w:hAnsi="Times New Roman" w:eastAsia="方正楷体简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方正楷体简体" w:hAnsi="Times New Roman" w:eastAsia="方正楷体简体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 w:ascii="方正楷体简体" w:hAnsi="Times New Roman" w:eastAsia="方正楷体简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）申请行政复议和提起行政诉讼方面。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201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8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年度，我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办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未出现针对本部门有关政府信息公开事务的行政复议和行政诉讼案。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N/>
        <w:bidi w:val="0"/>
        <w:adjustRightInd w:val="0"/>
        <w:snapToGrid w:val="0"/>
        <w:spacing w:before="0" w:beforeAutospacing="0" w:after="0" w:afterAutospacing="0" w:line="580" w:lineRule="exact"/>
        <w:ind w:left="0" w:right="0" w:firstLine="640"/>
        <w:jc w:val="both"/>
        <w:textAlignment w:val="auto"/>
        <w:rPr>
          <w:rFonts w:ascii="Tahoma" w:hAnsi="Tahoma" w:eastAsia="Tahoma" w:cs="Tahoma"/>
          <w:sz w:val="22"/>
          <w:szCs w:val="22"/>
        </w:rPr>
      </w:pPr>
      <w:r>
        <w:rPr>
          <w:rFonts w:hint="eastAsia" w:ascii="方正楷体简体" w:hAnsi="Times New Roman" w:eastAsia="方正楷体简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方正楷体简体" w:hAnsi="Times New Roman" w:eastAsia="方正楷体简体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五</w:t>
      </w:r>
      <w:r>
        <w:rPr>
          <w:rFonts w:hint="eastAsia" w:ascii="方正楷体简体" w:hAnsi="Times New Roman" w:eastAsia="方正楷体简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）存在的主要问题及改进情况</w:t>
      </w:r>
      <w:r>
        <w:rPr>
          <w:rFonts w:hint="eastAsia" w:ascii="方正楷体简体" w:hAnsi="Times New Roman" w:eastAsia="方正楷体简体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ascii="仿宋" w:hAnsi="仿宋" w:eastAsia="仿宋" w:cs="仿宋"/>
          <w:color w:val="000000"/>
          <w:sz w:val="32"/>
          <w:szCs w:val="32"/>
        </w:rPr>
        <w:t>在政府信息公开工作上，我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办虽然取得了一些成绩，但下一步仍需加强管理，严格按照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公文公开属性界定流程，遵循依法、及时、高效原则，在公文产生的过程中同步确定其属性</w:t>
      </w:r>
      <w:r>
        <w:rPr>
          <w:rFonts w:ascii="仿宋" w:hAnsi="仿宋" w:eastAsia="仿宋" w:cs="仿宋"/>
          <w:color w:val="000000"/>
          <w:sz w:val="32"/>
          <w:szCs w:val="32"/>
        </w:rPr>
        <w:t>，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继续</w:t>
      </w:r>
      <w:r>
        <w:rPr>
          <w:rFonts w:ascii="仿宋" w:hAnsi="仿宋" w:eastAsia="仿宋" w:cs="仿宋"/>
          <w:color w:val="000000"/>
          <w:sz w:val="32"/>
          <w:szCs w:val="32"/>
        </w:rPr>
        <w:t>完善主动公开政务信息网上公开目录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，</w:t>
      </w:r>
      <w:r>
        <w:rPr>
          <w:rFonts w:ascii="仿宋" w:hAnsi="仿宋" w:eastAsia="仿宋" w:cs="仿宋"/>
          <w:color w:val="000000"/>
          <w:sz w:val="32"/>
          <w:szCs w:val="32"/>
        </w:rPr>
        <w:t>确保该公开的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政府</w:t>
      </w:r>
      <w:r>
        <w:rPr>
          <w:rFonts w:ascii="仿宋" w:hAnsi="仿宋" w:eastAsia="仿宋" w:cs="仿宋"/>
          <w:color w:val="000000"/>
          <w:sz w:val="32"/>
          <w:szCs w:val="32"/>
        </w:rPr>
        <w:t>信息全部公开。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after="0" w:line="58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方正楷体简体" w:hAnsi="Times New Roman" w:eastAsia="方正楷体简体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（六）</w:t>
      </w:r>
      <w:r>
        <w:rPr>
          <w:rFonts w:hint="eastAsia" w:ascii="Times New Roman" w:hAnsi="Times New Roman" w:eastAsia="楷体" w:cs="Times New Roman"/>
          <w:sz w:val="32"/>
          <w:szCs w:val="32"/>
          <w:lang w:eastAsia="zh-CN"/>
        </w:rPr>
        <w:t>其他需要报告的事项。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无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after="0" w:line="580" w:lineRule="exact"/>
        <w:ind w:firstLine="640" w:firstLineChars="200"/>
        <w:textAlignment w:val="auto"/>
        <w:rPr>
          <w:rFonts w:hint="eastAsia" w:ascii="Times New Roman" w:hAnsi="Times New Roman" w:eastAsia="楷体" w:cs="Times New Roman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二、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要点落实情况。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after="0" w:line="58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2018年，我办严格落实好《关于做好三大重点领域政府信息公开工作的通知》（宿政办发〔2018〕41号）、《关于贯彻落实江苏省全面推进政务公开工作实施细则的通知》（宿政办发〔2018〕56号）、《宿迁市2018年政务公开工作要点》（宿政办发〔2018〕61号）等文件精神，并结合我办工作实际，制定出台并公开了《市外办2018年政务公开工作方案》，把政务公开具体工作进行责任分解，明确到办内各处室，并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将政务公开工作纳入年度综合目标考核。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after="0" w:line="580" w:lineRule="exact"/>
        <w:ind w:firstLine="640" w:firstLineChars="200"/>
        <w:textAlignment w:val="auto"/>
        <w:rPr>
          <w:rFonts w:hint="eastAsia" w:ascii="方正仿宋_GBK" w:eastAsia="方正仿宋_GBK" w:cs="方正仿宋_GBK"/>
          <w:sz w:val="32"/>
          <w:szCs w:val="32"/>
        </w:rPr>
      </w:pPr>
      <w:r>
        <w:rPr>
          <w:rFonts w:hint="eastAsia" w:ascii="方正楷体_GBK" w:eastAsia="方正楷体_GBK" w:cs="方正楷体_GBK"/>
          <w:sz w:val="32"/>
          <w:szCs w:val="32"/>
        </w:rPr>
        <w:t>重点领域公开</w:t>
      </w:r>
      <w:r>
        <w:rPr>
          <w:rFonts w:hint="eastAsia" w:ascii="方正楷体_GBK" w:eastAsia="方正楷体_GBK" w:cs="方正楷体_GBK"/>
          <w:sz w:val="32"/>
          <w:szCs w:val="32"/>
          <w:lang w:eastAsia="zh-CN"/>
        </w:rPr>
        <w:t>情况。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我办无涉及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重大建</w:t>
      </w:r>
      <w:r>
        <w:rPr>
          <w:rFonts w:hint="eastAsia" w:ascii="方正仿宋_GBK" w:eastAsia="方正仿宋_GBK" w:cs="方正仿宋_GBK"/>
          <w:sz w:val="32"/>
          <w:szCs w:val="32"/>
        </w:rPr>
        <w:t>设项目批准和实施领域</w:t>
      </w:r>
      <w:r>
        <w:rPr>
          <w:rFonts w:hint="eastAsia" w:ascii="方正仿宋_GBK" w:eastAsia="方正仿宋_GBK" w:cs="方正仿宋_GBK"/>
          <w:sz w:val="32"/>
          <w:szCs w:val="32"/>
          <w:lang w:eastAsia="zh-CN"/>
        </w:rPr>
        <w:t>、公共资源配置领域、社会公益事业建设领域三大重点领域信息。及时公开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201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年度财政预算和201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年度财政决算，</w:t>
      </w:r>
      <w:r>
        <w:rPr>
          <w:rFonts w:hint="eastAsia" w:ascii="方正仿宋_GBK" w:eastAsia="方正仿宋_GBK" w:cs="方正仿宋_GBK"/>
          <w:sz w:val="32"/>
          <w:szCs w:val="32"/>
        </w:rPr>
        <w:t>通过市政府门户网站“宿迁市预决算公开统一平台”向公众公开相关政府信息，方便公众查阅和监督。</w:t>
      </w:r>
    </w:p>
    <w:p>
      <w:pPr>
        <w:numPr>
          <w:ilvl w:val="0"/>
          <w:numId w:val="0"/>
        </w:numPr>
        <w:autoSpaceDE w:val="0"/>
        <w:spacing w:after="0" w:line="580" w:lineRule="exact"/>
        <w:rPr>
          <w:rFonts w:hint="eastAsia" w:ascii="方正仿宋_GBK" w:eastAsia="方正仿宋_GBK" w:cs="方正仿宋_GBK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7620</wp:posOffset>
            </wp:positionV>
            <wp:extent cx="5609590" cy="3528695"/>
            <wp:effectExtent l="0" t="0" r="10160" b="14605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3528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 w:val="0"/>
        <w:spacing w:after="0" w:line="580" w:lineRule="exact"/>
        <w:rPr>
          <w:rFonts w:hint="eastAsia" w:ascii="方正仿宋_GBK" w:eastAsia="方正仿宋_GBK" w:cs="方正仿宋_GBK"/>
          <w:sz w:val="32"/>
          <w:szCs w:val="32"/>
        </w:rPr>
      </w:pPr>
    </w:p>
    <w:p>
      <w:pPr>
        <w:numPr>
          <w:ilvl w:val="0"/>
          <w:numId w:val="0"/>
        </w:numPr>
        <w:autoSpaceDE w:val="0"/>
        <w:spacing w:after="0" w:line="580" w:lineRule="exact"/>
        <w:rPr>
          <w:rFonts w:hint="eastAsia" w:ascii="方正仿宋_GBK" w:eastAsia="方正仿宋_GBK" w:cs="方正仿宋_GBK"/>
          <w:sz w:val="32"/>
          <w:szCs w:val="32"/>
        </w:rPr>
      </w:pPr>
    </w:p>
    <w:p>
      <w:pPr>
        <w:numPr>
          <w:ilvl w:val="0"/>
          <w:numId w:val="0"/>
        </w:numPr>
        <w:autoSpaceDE w:val="0"/>
        <w:spacing w:after="0" w:line="580" w:lineRule="exact"/>
        <w:rPr>
          <w:rFonts w:hint="eastAsia" w:ascii="方正仿宋_GBK" w:eastAsia="方正仿宋_GBK" w:cs="方正仿宋_GBK"/>
          <w:sz w:val="32"/>
          <w:szCs w:val="32"/>
        </w:rPr>
      </w:pPr>
    </w:p>
    <w:p>
      <w:pPr>
        <w:numPr>
          <w:ilvl w:val="0"/>
          <w:numId w:val="0"/>
        </w:numPr>
        <w:autoSpaceDE w:val="0"/>
        <w:spacing w:after="0" w:line="580" w:lineRule="exact"/>
        <w:rPr>
          <w:rFonts w:hint="eastAsia" w:ascii="方正仿宋_GBK" w:eastAsia="方正仿宋_GBK" w:cs="方正仿宋_GBK"/>
          <w:sz w:val="32"/>
          <w:szCs w:val="32"/>
        </w:rPr>
      </w:pPr>
    </w:p>
    <w:p>
      <w:pPr>
        <w:numPr>
          <w:ilvl w:val="0"/>
          <w:numId w:val="0"/>
        </w:numPr>
        <w:autoSpaceDE w:val="0"/>
        <w:spacing w:after="0" w:line="580" w:lineRule="exact"/>
        <w:rPr>
          <w:rFonts w:hint="eastAsia" w:ascii="方正仿宋_GBK" w:eastAsia="方正仿宋_GBK" w:cs="方正仿宋_GBK"/>
          <w:sz w:val="32"/>
          <w:szCs w:val="32"/>
        </w:rPr>
      </w:pPr>
    </w:p>
    <w:p>
      <w:pPr>
        <w:numPr>
          <w:ilvl w:val="0"/>
          <w:numId w:val="0"/>
        </w:numPr>
        <w:autoSpaceDE w:val="0"/>
        <w:spacing w:after="0" w:line="580" w:lineRule="exact"/>
        <w:rPr>
          <w:rFonts w:hint="eastAsia" w:ascii="方正仿宋_GBK" w:eastAsia="方正仿宋_GBK" w:cs="方正仿宋_GBK"/>
          <w:sz w:val="32"/>
          <w:szCs w:val="32"/>
        </w:rPr>
      </w:pPr>
    </w:p>
    <w:p>
      <w:pPr>
        <w:numPr>
          <w:ilvl w:val="0"/>
          <w:numId w:val="0"/>
        </w:numPr>
        <w:autoSpaceDE w:val="0"/>
        <w:spacing w:after="0" w:line="580" w:lineRule="exact"/>
        <w:rPr>
          <w:rFonts w:hint="eastAsia" w:ascii="方正仿宋_GBK" w:eastAsia="方正仿宋_GBK" w:cs="方正仿宋_GBK"/>
          <w:sz w:val="32"/>
          <w:szCs w:val="32"/>
        </w:rPr>
      </w:pPr>
    </w:p>
    <w:p>
      <w:pPr>
        <w:numPr>
          <w:ilvl w:val="0"/>
          <w:numId w:val="0"/>
        </w:numPr>
        <w:autoSpaceDE w:val="0"/>
        <w:spacing w:after="0" w:line="580" w:lineRule="exact"/>
        <w:rPr>
          <w:rFonts w:hint="eastAsia" w:ascii="方正仿宋_GBK" w:eastAsia="方正仿宋_GBK" w:cs="方正仿宋_GBK"/>
          <w:sz w:val="32"/>
          <w:szCs w:val="32"/>
        </w:rPr>
      </w:pPr>
    </w:p>
    <w:p>
      <w:pPr>
        <w:numPr>
          <w:ilvl w:val="0"/>
          <w:numId w:val="0"/>
        </w:numPr>
        <w:autoSpaceDE w:val="0"/>
        <w:spacing w:after="0" w:line="580" w:lineRule="exact"/>
        <w:rPr>
          <w:rFonts w:hint="eastAsia" w:ascii="方正仿宋_GBK" w:eastAsia="方正仿宋_GBK" w:cs="方正仿宋_GBK"/>
          <w:sz w:val="32"/>
          <w:szCs w:val="32"/>
        </w:rPr>
      </w:pPr>
    </w:p>
    <w:p>
      <w:pPr>
        <w:numPr>
          <w:ilvl w:val="0"/>
          <w:numId w:val="0"/>
        </w:numPr>
        <w:autoSpaceDE w:val="0"/>
        <w:spacing w:after="0" w:line="580" w:lineRule="exact"/>
        <w:rPr>
          <w:rFonts w:hint="eastAsia" w:ascii="方正仿宋_GBK" w:eastAsia="方正仿宋_GBK" w:cs="方正仿宋_GBK"/>
          <w:sz w:val="32"/>
          <w:szCs w:val="32"/>
        </w:rPr>
      </w:pPr>
    </w:p>
    <w:p>
      <w:pPr>
        <w:numPr>
          <w:ilvl w:val="0"/>
          <w:numId w:val="0"/>
        </w:numPr>
        <w:autoSpaceDE w:val="0"/>
        <w:spacing w:after="0" w:line="580" w:lineRule="exact"/>
        <w:rPr>
          <w:rFonts w:hint="eastAsia" w:ascii="方正仿宋_GBK" w:eastAsia="方正仿宋_GBK" w:cs="方正仿宋_GBK"/>
          <w:sz w:val="32"/>
          <w:szCs w:val="32"/>
        </w:rPr>
      </w:pPr>
    </w:p>
    <w:p>
      <w:pPr>
        <w:numPr>
          <w:ilvl w:val="0"/>
          <w:numId w:val="0"/>
        </w:numPr>
        <w:autoSpaceDE w:val="0"/>
        <w:spacing w:after="0" w:line="580" w:lineRule="exact"/>
        <w:rPr>
          <w:rFonts w:hint="eastAsia" w:ascii="方正仿宋_GBK" w:eastAsia="方正仿宋_GBK" w:cs="方正仿宋_GBK"/>
          <w:sz w:val="32"/>
          <w:szCs w:val="32"/>
        </w:rPr>
      </w:pPr>
    </w:p>
    <w:p>
      <w:pPr>
        <w:numPr>
          <w:ilvl w:val="0"/>
          <w:numId w:val="0"/>
        </w:numPr>
        <w:autoSpaceDE w:val="0"/>
        <w:spacing w:after="0" w:line="580" w:lineRule="exact"/>
        <w:rPr>
          <w:rFonts w:hint="eastAsia" w:ascii="方正仿宋_GBK" w:eastAsia="方正仿宋_GBK" w:cs="方正仿宋_GBK"/>
          <w:sz w:val="32"/>
          <w:szCs w:val="32"/>
        </w:rPr>
      </w:pPr>
    </w:p>
    <w:p>
      <w:pPr>
        <w:numPr>
          <w:ilvl w:val="0"/>
          <w:numId w:val="0"/>
        </w:numPr>
        <w:autoSpaceDE w:val="0"/>
        <w:spacing w:after="0" w:line="580" w:lineRule="exact"/>
        <w:rPr>
          <w:rFonts w:hint="eastAsia" w:ascii="方正仿宋_GBK" w:eastAsia="方正仿宋_GBK" w:cs="方正仿宋_GBK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62230</wp:posOffset>
            </wp:positionV>
            <wp:extent cx="5615940" cy="3390265"/>
            <wp:effectExtent l="0" t="0" r="3810" b="63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39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 w:val="0"/>
        <w:spacing w:after="0" w:line="580" w:lineRule="exact"/>
        <w:rPr>
          <w:rFonts w:hint="eastAsia" w:ascii="方正仿宋_GBK" w:eastAsia="方正仿宋_GBK" w:cs="方正仿宋_GBK"/>
          <w:sz w:val="32"/>
          <w:szCs w:val="32"/>
        </w:rPr>
      </w:pPr>
    </w:p>
    <w:p>
      <w:pPr>
        <w:numPr>
          <w:ilvl w:val="0"/>
          <w:numId w:val="0"/>
        </w:numPr>
        <w:autoSpaceDE w:val="0"/>
        <w:spacing w:after="0" w:line="580" w:lineRule="exact"/>
        <w:rPr>
          <w:rFonts w:hint="eastAsia" w:ascii="方正仿宋_GBK" w:eastAsia="方正仿宋_GBK" w:cs="方正仿宋_GBK"/>
          <w:sz w:val="32"/>
          <w:szCs w:val="32"/>
        </w:rPr>
      </w:pPr>
    </w:p>
    <w:p>
      <w:pPr>
        <w:numPr>
          <w:ilvl w:val="0"/>
          <w:numId w:val="0"/>
        </w:numPr>
        <w:autoSpaceDE w:val="0"/>
        <w:spacing w:after="0" w:line="580" w:lineRule="exact"/>
        <w:rPr>
          <w:rFonts w:hint="eastAsia" w:ascii="方正仿宋_GBK" w:eastAsia="方正仿宋_GBK" w:cs="方正仿宋_GBK"/>
          <w:sz w:val="32"/>
          <w:szCs w:val="32"/>
        </w:rPr>
      </w:pPr>
    </w:p>
    <w:p>
      <w:pPr>
        <w:numPr>
          <w:ilvl w:val="0"/>
          <w:numId w:val="0"/>
        </w:numPr>
        <w:autoSpaceDE w:val="0"/>
        <w:spacing w:after="0" w:line="580" w:lineRule="exact"/>
        <w:rPr>
          <w:rFonts w:hint="eastAsia" w:ascii="方正仿宋_GBK" w:eastAsia="方正仿宋_GBK" w:cs="方正仿宋_GBK"/>
          <w:sz w:val="32"/>
          <w:szCs w:val="32"/>
        </w:rPr>
      </w:pPr>
    </w:p>
    <w:p>
      <w:pPr>
        <w:numPr>
          <w:ilvl w:val="0"/>
          <w:numId w:val="0"/>
        </w:numPr>
        <w:autoSpaceDE w:val="0"/>
        <w:spacing w:after="0" w:line="580" w:lineRule="exact"/>
        <w:rPr>
          <w:rFonts w:hint="eastAsia" w:ascii="方正仿宋_GBK" w:eastAsia="方正仿宋_GBK" w:cs="方正仿宋_GBK"/>
          <w:sz w:val="32"/>
          <w:szCs w:val="32"/>
        </w:rPr>
      </w:pPr>
    </w:p>
    <w:p>
      <w:pPr>
        <w:numPr>
          <w:ilvl w:val="0"/>
          <w:numId w:val="0"/>
        </w:numPr>
        <w:autoSpaceDE w:val="0"/>
        <w:spacing w:after="0" w:line="580" w:lineRule="exact"/>
        <w:rPr>
          <w:rFonts w:hint="eastAsia" w:ascii="方正仿宋_GBK" w:eastAsia="方正仿宋_GBK" w:cs="方正仿宋_GBK"/>
          <w:sz w:val="32"/>
          <w:szCs w:val="32"/>
        </w:rPr>
      </w:pPr>
    </w:p>
    <w:p>
      <w:pPr>
        <w:numPr>
          <w:ilvl w:val="0"/>
          <w:numId w:val="0"/>
        </w:numPr>
        <w:autoSpaceDE w:val="0"/>
        <w:spacing w:after="0" w:line="580" w:lineRule="exact"/>
        <w:rPr>
          <w:rFonts w:hint="eastAsia" w:ascii="方正仿宋_GBK" w:eastAsia="方正仿宋_GBK" w:cs="方正仿宋_GBK"/>
          <w:sz w:val="32"/>
          <w:szCs w:val="32"/>
        </w:rPr>
      </w:pPr>
    </w:p>
    <w:p>
      <w:pPr>
        <w:numPr>
          <w:ilvl w:val="0"/>
          <w:numId w:val="0"/>
        </w:numPr>
        <w:autoSpaceDE w:val="0"/>
        <w:spacing w:after="0" w:line="580" w:lineRule="exact"/>
        <w:rPr>
          <w:rFonts w:hint="eastAsia" w:ascii="方正仿宋_GBK" w:eastAsia="方正仿宋_GBK" w:cs="方正仿宋_GBK"/>
          <w:sz w:val="32"/>
          <w:szCs w:val="32"/>
        </w:rPr>
      </w:pPr>
    </w:p>
    <w:p>
      <w:pPr>
        <w:numPr>
          <w:ilvl w:val="0"/>
          <w:numId w:val="0"/>
        </w:numPr>
        <w:autoSpaceDE w:val="0"/>
        <w:spacing w:after="0" w:line="580" w:lineRule="exact"/>
        <w:rPr>
          <w:rFonts w:hint="eastAsia" w:ascii="方正仿宋_GBK" w:eastAsia="方正仿宋_GBK" w:cs="方正仿宋_GBK"/>
          <w:sz w:val="32"/>
          <w:szCs w:val="32"/>
        </w:rPr>
      </w:pPr>
    </w:p>
    <w:p>
      <w:pPr>
        <w:keepNext w:val="0"/>
        <w:keepLines w:val="0"/>
        <w:widowControl w:val="0"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80" w:lineRule="exact"/>
        <w:ind w:left="0" w:leftChars="0" w:right="0" w:firstLine="440" w:firstLineChars="200"/>
        <w:jc w:val="left"/>
        <w:rPr>
          <w:rFonts w:hint="eastAsia" w:ascii="方正仿宋_GBK" w:hAnsi="方正仿宋_GBK" w:eastAsia="方正仿宋_GBK" w:cs="方正仿宋_GBK"/>
          <w:color w:val="222222"/>
          <w:kern w:val="0"/>
          <w:sz w:val="32"/>
          <w:szCs w:val="32"/>
          <w:lang w:val="en-US" w:eastAsia="zh-CN" w:bidi="ar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1809115</wp:posOffset>
            </wp:positionV>
            <wp:extent cx="5609590" cy="3592830"/>
            <wp:effectExtent l="0" t="0" r="10160" b="7620"/>
            <wp:wrapNone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3592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楷体_GBK" w:hAnsi="方正楷体_GBK" w:eastAsia="方正楷体_GBK" w:cs="方正楷体_GBK"/>
          <w:sz w:val="32"/>
          <w:szCs w:val="32"/>
          <w:lang w:eastAsia="zh-CN"/>
        </w:rPr>
        <w:t>政策解读情况。</w:t>
      </w:r>
      <w:r>
        <w:rPr>
          <w:rFonts w:ascii="方正仿宋_GBK" w:hAnsi="方正仿宋_GBK" w:eastAsia="方正仿宋_GBK" w:cs="方正仿宋_GBK"/>
          <w:color w:val="222222"/>
          <w:kern w:val="0"/>
          <w:sz w:val="32"/>
          <w:szCs w:val="32"/>
          <w:lang w:val="en-US" w:eastAsia="zh-CN" w:bidi="ar"/>
        </w:rPr>
        <w:t>为进一步加强全市因公临时出国（境）管理，</w:t>
      </w:r>
      <w:r>
        <w:rPr>
          <w:rFonts w:hint="eastAsia" w:ascii="方正仿宋_GBK" w:hAnsi="方正仿宋_GBK" w:eastAsia="方正仿宋_GBK" w:cs="方正仿宋_GBK"/>
          <w:color w:val="222222"/>
          <w:kern w:val="0"/>
          <w:sz w:val="32"/>
          <w:szCs w:val="32"/>
          <w:lang w:val="en-US" w:eastAsia="zh-CN" w:bidi="ar"/>
        </w:rPr>
        <w:t>制定</w:t>
      </w:r>
      <w:r>
        <w:rPr>
          <w:rFonts w:ascii="方正仿宋_GBK" w:hAnsi="方正仿宋_GBK" w:eastAsia="方正仿宋_GBK" w:cs="方正仿宋_GBK"/>
          <w:color w:val="222222"/>
          <w:kern w:val="0"/>
          <w:sz w:val="32"/>
          <w:szCs w:val="32"/>
          <w:lang w:val="en-US" w:eastAsia="zh-CN" w:bidi="ar"/>
        </w:rPr>
        <w:t>出台相关补充规定，</w:t>
      </w:r>
      <w:r>
        <w:rPr>
          <w:rFonts w:hint="eastAsia" w:ascii="方正仿宋_GBK" w:hAnsi="方正仿宋_GBK" w:eastAsia="方正仿宋_GBK" w:cs="方正仿宋_GBK"/>
          <w:color w:val="222222"/>
          <w:kern w:val="0"/>
          <w:sz w:val="32"/>
          <w:szCs w:val="32"/>
          <w:lang w:val="en-US" w:eastAsia="zh-CN" w:bidi="ar"/>
        </w:rPr>
        <w:t>其中对我市人员参加因公临时出国（境）跨地区跨部门出访手续办理流程进行了调整。我办对因公临时出国（境）跨地区跨部门出访手续办理流程相关政策要求进行了解读。</w:t>
      </w: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adjustRightInd w:val="0"/>
        <w:snapToGrid w:val="0"/>
        <w:spacing w:before="0" w:beforeAutospacing="0" w:after="0" w:afterAutospacing="0" w:line="580" w:lineRule="exact"/>
        <w:ind w:right="0" w:rightChars="0"/>
        <w:jc w:val="left"/>
        <w:rPr>
          <w:rFonts w:hint="eastAsia" w:ascii="方正仿宋_GBK" w:hAnsi="方正仿宋_GBK" w:eastAsia="方正仿宋_GBK" w:cs="方正仿宋_GBK"/>
          <w:color w:val="222222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adjustRightInd w:val="0"/>
        <w:snapToGrid w:val="0"/>
        <w:spacing w:before="0" w:beforeAutospacing="0" w:after="0" w:afterAutospacing="0" w:line="580" w:lineRule="exact"/>
        <w:ind w:right="0" w:rightChars="0"/>
        <w:jc w:val="left"/>
        <w:rPr>
          <w:rFonts w:hint="eastAsia" w:ascii="方正仿宋_GBK" w:hAnsi="方正仿宋_GBK" w:eastAsia="方正仿宋_GBK" w:cs="方正仿宋_GBK"/>
          <w:color w:val="222222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adjustRightInd w:val="0"/>
        <w:snapToGrid w:val="0"/>
        <w:spacing w:before="0" w:beforeAutospacing="0" w:after="0" w:afterAutospacing="0" w:line="580" w:lineRule="exact"/>
        <w:ind w:right="0" w:rightChars="0"/>
        <w:jc w:val="left"/>
        <w:rPr>
          <w:rFonts w:hint="eastAsia" w:ascii="方正仿宋_GBK" w:hAnsi="方正仿宋_GBK" w:eastAsia="方正仿宋_GBK" w:cs="方正仿宋_GBK"/>
          <w:color w:val="222222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adjustRightInd w:val="0"/>
        <w:snapToGrid w:val="0"/>
        <w:spacing w:before="0" w:beforeAutospacing="0" w:after="0" w:afterAutospacing="0" w:line="580" w:lineRule="exact"/>
        <w:ind w:right="0" w:rightChars="0"/>
        <w:jc w:val="left"/>
        <w:rPr>
          <w:rFonts w:hint="eastAsia" w:ascii="方正仿宋_GBK" w:hAnsi="方正仿宋_GBK" w:eastAsia="方正仿宋_GBK" w:cs="方正仿宋_GBK"/>
          <w:color w:val="222222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adjustRightInd w:val="0"/>
        <w:snapToGrid w:val="0"/>
        <w:spacing w:before="0" w:beforeAutospacing="0" w:after="0" w:afterAutospacing="0" w:line="580" w:lineRule="exact"/>
        <w:ind w:right="0" w:rightChars="0"/>
        <w:jc w:val="left"/>
        <w:rPr>
          <w:rFonts w:hint="eastAsia" w:ascii="方正仿宋_GBK" w:hAnsi="方正仿宋_GBK" w:eastAsia="方正仿宋_GBK" w:cs="方正仿宋_GBK"/>
          <w:color w:val="222222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adjustRightInd w:val="0"/>
        <w:snapToGrid w:val="0"/>
        <w:spacing w:before="0" w:beforeAutospacing="0" w:after="0" w:afterAutospacing="0" w:line="580" w:lineRule="exact"/>
        <w:ind w:right="0" w:rightChars="0"/>
        <w:jc w:val="left"/>
        <w:rPr>
          <w:rFonts w:hint="eastAsia" w:ascii="方正仿宋_GBK" w:hAnsi="方正仿宋_GBK" w:eastAsia="方正仿宋_GBK" w:cs="方正仿宋_GBK"/>
          <w:color w:val="222222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adjustRightInd w:val="0"/>
        <w:snapToGrid w:val="0"/>
        <w:spacing w:before="0" w:beforeAutospacing="0" w:after="0" w:afterAutospacing="0" w:line="580" w:lineRule="exact"/>
        <w:ind w:right="0" w:rightChars="0"/>
        <w:jc w:val="left"/>
        <w:rPr>
          <w:rFonts w:hint="eastAsia" w:ascii="方正仿宋_GBK" w:hAnsi="方正仿宋_GBK" w:eastAsia="方正仿宋_GBK" w:cs="方正仿宋_GBK"/>
          <w:color w:val="222222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80" w:lineRule="exact"/>
        <w:ind w:left="0" w:leftChars="0" w:right="0" w:firstLine="640" w:firstLineChars="200"/>
        <w:jc w:val="lef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（三）咨询投诉回应情况。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为切实加强与群众联系，我办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切实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组织做好本单位的政务舆情监测工作，扩大舆情收集范围，及时了解各方关切，有针对性地做好回应工作。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安排专人负责网络问政、鼎鼎有民、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12345热线、主任信箱</w:t>
      </w:r>
      <w:r>
        <w:rPr>
          <w:rFonts w:hint="eastAsia" w:ascii="方正仿宋_GBK" w:hAnsi="Arial" w:eastAsia="方正仿宋_GBK" w:cs="Arial"/>
          <w:color w:val="000000"/>
          <w:sz w:val="32"/>
          <w:szCs w:val="32"/>
        </w:rPr>
        <w:t>信息的搜集、整理、编辑、发布、更新和回应等工作。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2018年我办网络问政、鼎鼎有民和12345热线未收到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咨询、投诉和意见建议，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主任信箱共收到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4封咨询信件，我办都及时予以答复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80" w:lineRule="exact"/>
        <w:ind w:right="0"/>
        <w:jc w:val="lef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49530</wp:posOffset>
            </wp:positionV>
            <wp:extent cx="5615940" cy="2446020"/>
            <wp:effectExtent l="0" t="0" r="3810" b="11430"/>
            <wp:wrapNone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80" w:lineRule="exact"/>
        <w:ind w:right="0"/>
        <w:jc w:val="left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80" w:lineRule="exact"/>
        <w:ind w:right="0"/>
        <w:jc w:val="left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80" w:lineRule="exact"/>
        <w:ind w:right="0"/>
        <w:jc w:val="left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80" w:lineRule="exact"/>
        <w:ind w:right="0"/>
        <w:jc w:val="left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80" w:lineRule="exact"/>
        <w:ind w:right="0"/>
        <w:jc w:val="left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80" w:lineRule="exact"/>
        <w:ind w:right="0"/>
        <w:jc w:val="left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/>
        <w:spacing w:before="0" w:beforeAutospacing="0" w:after="0" w:afterAutospacing="0" w:line="580" w:lineRule="exact"/>
        <w:ind w:left="0" w:leftChars="0" w:right="0" w:firstLine="640" w:firstLineChars="200"/>
        <w:jc w:val="left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eastAsia="zh-CN"/>
        </w:rPr>
        <w:t>（四）</w:t>
      </w:r>
      <w:r>
        <w:rPr>
          <w:rFonts w:hint="eastAsia" w:ascii="方正楷体_GBK" w:hAnsi="方正楷体_GBK" w:eastAsia="方正楷体_GBK" w:cs="方正楷体_GBK"/>
          <w:sz w:val="32"/>
          <w:szCs w:val="32"/>
        </w:rPr>
        <w:t>网上办事服务</w:t>
      </w:r>
      <w:r>
        <w:rPr>
          <w:rFonts w:hint="eastAsia" w:ascii="方正楷体_GBK" w:hAnsi="方正楷体_GBK" w:eastAsia="方正楷体_GBK" w:cs="方正楷体_GBK"/>
          <w:sz w:val="32"/>
          <w:szCs w:val="32"/>
          <w:lang w:eastAsia="zh-CN"/>
        </w:rPr>
        <w:t>情况</w:t>
      </w:r>
      <w:r>
        <w:rPr>
          <w:rFonts w:hint="eastAsia" w:ascii="方正楷体_GBK" w:hAnsi="方正楷体_GBK" w:eastAsia="方正楷体_GBK" w:cs="方正楷体_GBK"/>
          <w:sz w:val="32"/>
          <w:szCs w:val="32"/>
        </w:rPr>
        <w:t>。</w:t>
      </w:r>
      <w:r>
        <w:rPr>
          <w:rFonts w:hint="eastAsia" w:ascii="方正仿宋_GBK" w:eastAsia="方正仿宋_GBK" w:cs="方正仿宋_GBK"/>
          <w:sz w:val="32"/>
          <w:szCs w:val="32"/>
        </w:rPr>
        <w:t>贯彻</w:t>
      </w:r>
      <w:r>
        <w:rPr>
          <w:rFonts w:hint="eastAsia" w:ascii="方正仿宋_GBK" w:eastAsia="方正仿宋_GBK" w:cs="方正仿宋_GBK"/>
          <w:sz w:val="32"/>
          <w:szCs w:val="32"/>
          <w:lang w:eastAsia="zh-CN"/>
        </w:rPr>
        <w:t>落实好</w:t>
      </w:r>
      <w:r>
        <w:rPr>
          <w:rFonts w:hint="eastAsia" w:ascii="方正仿宋_GBK" w:eastAsia="方正仿宋_GBK" w:cs="方正仿宋_GBK"/>
          <w:sz w:val="32"/>
          <w:szCs w:val="32"/>
        </w:rPr>
        <w:t>“放管服”改革要求，</w:t>
      </w:r>
      <w:r>
        <w:rPr>
          <w:rFonts w:hint="eastAsia" w:ascii="方正仿宋_GBK" w:eastAsia="方正仿宋_GBK" w:cs="方正仿宋_GBK"/>
          <w:sz w:val="32"/>
          <w:szCs w:val="32"/>
          <w:lang w:val="en-US" w:eastAsia="zh-CN"/>
        </w:rPr>
        <w:t>加强政务云服务一张网建设，</w:t>
      </w:r>
      <w:r>
        <w:rPr>
          <w:rFonts w:hint="eastAsia" w:ascii="方正仿宋_GBK" w:eastAsia="方正仿宋_GBK" w:cs="方正仿宋_GBK"/>
          <w:sz w:val="32"/>
          <w:szCs w:val="32"/>
        </w:rPr>
        <w:t>深化</w:t>
      </w:r>
      <w:r>
        <w:rPr>
          <w:rFonts w:hint="eastAsia" w:ascii="方正仿宋_GBK" w:eastAsia="方正仿宋_GBK" w:cs="方正仿宋_GBK"/>
          <w:sz w:val="32"/>
          <w:szCs w:val="32"/>
          <w:lang w:eastAsia="zh-CN"/>
        </w:rPr>
        <w:t>侨务</w:t>
      </w:r>
      <w:r>
        <w:rPr>
          <w:rFonts w:hint="eastAsia" w:ascii="方正仿宋_GBK" w:eastAsia="方正仿宋_GBK" w:cs="方正仿宋_GBK"/>
          <w:sz w:val="32"/>
          <w:szCs w:val="32"/>
        </w:rPr>
        <w:t>“不见面审批（服务）”改革，动态调整“不见面审批”事项清单</w:t>
      </w:r>
      <w:r>
        <w:rPr>
          <w:rFonts w:hint="eastAsia" w:ascii="方正仿宋_GBK" w:eastAsia="方正仿宋_GBK" w:cs="方正仿宋_GBK"/>
          <w:sz w:val="32"/>
          <w:szCs w:val="32"/>
          <w:lang w:eastAsia="zh-CN"/>
        </w:rPr>
        <w:t>，</w:t>
      </w:r>
      <w:r>
        <w:rPr>
          <w:rFonts w:hint="eastAsia" w:ascii="方正仿宋_GBK" w:eastAsia="方正仿宋_GBK" w:cs="方正仿宋_GBK"/>
          <w:sz w:val="32"/>
          <w:szCs w:val="32"/>
          <w:lang w:val="en-US" w:eastAsia="zh-CN"/>
        </w:rPr>
        <w:t>5个不见面审批流程办理时限为全省最短。</w:t>
      </w:r>
    </w:p>
    <w:p>
      <w:pPr>
        <w:numPr>
          <w:ilvl w:val="0"/>
          <w:numId w:val="0"/>
        </w:numPr>
        <w:autoSpaceDE w:val="0"/>
        <w:spacing w:after="0" w:line="580" w:lineRule="exact"/>
        <w:ind w:firstLine="640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三、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人大代表建议和政协委员提案办理结果公开情况。</w:t>
      </w:r>
    </w:p>
    <w:p>
      <w:pPr>
        <w:pStyle w:val="4"/>
        <w:keepNext w:val="0"/>
        <w:keepLines w:val="0"/>
        <w:widowControl/>
        <w:suppressLineNumbers w:val="0"/>
        <w:snapToGrid w:val="0"/>
        <w:spacing w:before="0" w:beforeAutospacing="0" w:after="0" w:afterAutospacing="0" w:line="560" w:lineRule="atLeast"/>
        <w:ind w:left="0" w:right="0" w:firstLine="640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sz w:val="32"/>
          <w:szCs w:val="32"/>
          <w:lang w:val="en-US" w:eastAsia="zh-CN"/>
        </w:rPr>
        <w:t>2018年，我办</w:t>
      </w:r>
      <w:r>
        <w:rPr>
          <w:rFonts w:ascii="仿宋" w:hAnsi="仿宋" w:eastAsia="仿宋" w:cs="仿宋"/>
          <w:color w:val="000000"/>
          <w:sz w:val="32"/>
          <w:szCs w:val="32"/>
        </w:rPr>
        <w:t>认真做好人大代表建议和政协提案办理工作，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未承办人大代表建议和政协提案，共会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  <w:lang w:eastAsia="zh-CN"/>
        </w:rPr>
        <w:t>办政协提案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  <w:lang w:val="en-US" w:eastAsia="zh-CN"/>
        </w:rPr>
        <w:t>2件，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全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部按时间节点办理回复到位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，并在网上进行公开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。</w:t>
      </w:r>
    </w:p>
    <w:p>
      <w:pPr>
        <w:pStyle w:val="4"/>
        <w:keepNext w:val="0"/>
        <w:keepLines w:val="0"/>
        <w:widowControl/>
        <w:suppressLineNumbers w:val="0"/>
        <w:snapToGrid w:val="0"/>
        <w:spacing w:before="0" w:beforeAutospacing="0" w:after="0" w:afterAutospacing="0" w:line="560" w:lineRule="atLeast"/>
        <w:ind w:right="0"/>
        <w:rPr>
          <w:rFonts w:hint="eastAsia" w:ascii="仿宋" w:hAnsi="仿宋" w:eastAsia="仿宋" w:cs="仿宋"/>
          <w:color w:val="000000"/>
          <w:sz w:val="32"/>
          <w:szCs w:val="32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100965</wp:posOffset>
            </wp:positionV>
            <wp:extent cx="5610860" cy="2353310"/>
            <wp:effectExtent l="0" t="0" r="8890" b="8890"/>
            <wp:wrapNone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2353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widowControl/>
        <w:suppressLineNumbers w:val="0"/>
        <w:snapToGrid w:val="0"/>
        <w:spacing w:before="0" w:beforeAutospacing="0" w:after="0" w:afterAutospacing="0" w:line="560" w:lineRule="atLeast"/>
        <w:ind w:right="0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pStyle w:val="4"/>
        <w:keepNext w:val="0"/>
        <w:keepLines w:val="0"/>
        <w:widowControl/>
        <w:suppressLineNumbers w:val="0"/>
        <w:snapToGrid w:val="0"/>
        <w:spacing w:before="0" w:beforeAutospacing="0" w:after="0" w:afterAutospacing="0" w:line="560" w:lineRule="atLeast"/>
        <w:ind w:right="0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pStyle w:val="4"/>
        <w:keepNext w:val="0"/>
        <w:keepLines w:val="0"/>
        <w:widowControl/>
        <w:suppressLineNumbers w:val="0"/>
        <w:snapToGrid w:val="0"/>
        <w:spacing w:before="0" w:beforeAutospacing="0" w:after="0" w:afterAutospacing="0" w:line="560" w:lineRule="atLeast"/>
        <w:ind w:right="0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pStyle w:val="4"/>
        <w:keepNext w:val="0"/>
        <w:keepLines w:val="0"/>
        <w:widowControl/>
        <w:suppressLineNumbers w:val="0"/>
        <w:snapToGrid w:val="0"/>
        <w:spacing w:before="0" w:beforeAutospacing="0" w:after="0" w:afterAutospacing="0" w:line="560" w:lineRule="atLeast"/>
        <w:ind w:right="0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pStyle w:val="4"/>
        <w:keepNext w:val="0"/>
        <w:keepLines w:val="0"/>
        <w:widowControl/>
        <w:suppressLineNumbers w:val="0"/>
        <w:snapToGrid w:val="0"/>
        <w:spacing w:before="0" w:beforeAutospacing="0" w:after="0" w:afterAutospacing="0" w:line="560" w:lineRule="atLeast"/>
        <w:ind w:right="0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pStyle w:val="4"/>
        <w:keepNext w:val="0"/>
        <w:keepLines w:val="0"/>
        <w:widowControl/>
        <w:suppressLineNumbers w:val="0"/>
        <w:snapToGrid w:val="0"/>
        <w:spacing w:before="0" w:beforeAutospacing="0" w:after="0" w:afterAutospacing="0" w:line="560" w:lineRule="atLeast"/>
        <w:ind w:right="0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pPr>
        <w:spacing w:after="0" w:line="580" w:lineRule="exact"/>
        <w:ind w:firstLine="630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四、工作做法和成效</w:t>
      </w:r>
    </w:p>
    <w:p>
      <w:pPr>
        <w:spacing w:after="0" w:line="580" w:lineRule="exact"/>
        <w:ind w:firstLine="63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201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年，我办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严格按照国家、省、市政务公开工作有关要求，</w:t>
      </w:r>
      <w:r>
        <w:rPr>
          <w:rFonts w:hint="eastAsia" w:ascii="方正仿宋_GBK" w:eastAsia="方正仿宋_GBK" w:cs="方正仿宋_GBK"/>
          <w:sz w:val="32"/>
          <w:szCs w:val="32"/>
        </w:rPr>
        <w:t>充分认识做好政务公开工作的重要性，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紧紧围绕市委、市政府中心工作和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人民群众关注关切及期盼</w:t>
      </w:r>
      <w:r>
        <w:rPr>
          <w:rFonts w:hint="eastAsia" w:ascii="方正仿宋_GBK" w:eastAsia="方正仿宋_GBK" w:cs="方正仿宋_GBK"/>
          <w:sz w:val="32"/>
          <w:szCs w:val="32"/>
        </w:rPr>
        <w:t>，坚持公开为常态、不公开为例外，</w:t>
      </w:r>
      <w:r>
        <w:rPr>
          <w:rFonts w:hint="eastAsia" w:ascii="方正仿宋_GBK" w:eastAsia="方正仿宋_GBK" w:cs="方正仿宋_GBK"/>
          <w:sz w:val="32"/>
          <w:szCs w:val="32"/>
          <w:lang w:eastAsia="zh-CN"/>
        </w:rPr>
        <w:t>切实</w:t>
      </w:r>
      <w:r>
        <w:rPr>
          <w:rFonts w:hint="eastAsia" w:ascii="方正仿宋_GBK" w:eastAsia="方正仿宋_GBK" w:cs="方正仿宋_GBK"/>
          <w:sz w:val="32"/>
          <w:szCs w:val="32"/>
        </w:rPr>
        <w:t>保障公众知情权、参与权、表达权和监督权，扎实全面推进政务公开工作。</w:t>
      </w:r>
    </w:p>
    <w:p>
      <w:pPr>
        <w:spacing w:after="0" w:line="580" w:lineRule="exact"/>
        <w:ind w:firstLine="63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楷体_GB2312" w:cs="楷体_GB2312"/>
          <w:color w:val="000000"/>
          <w:sz w:val="32"/>
          <w:szCs w:val="32"/>
        </w:rPr>
        <w:t>（一）</w:t>
      </w:r>
      <w:r>
        <w:rPr>
          <w:rFonts w:hint="eastAsia" w:ascii="Times New Roman" w:hAnsi="Times New Roman" w:eastAsia="楷体_GB2312" w:cs="楷体_GB2312"/>
          <w:color w:val="000000"/>
          <w:sz w:val="32"/>
          <w:szCs w:val="32"/>
          <w:lang w:eastAsia="zh-CN"/>
        </w:rPr>
        <w:t>完善组织体系，强化监督保障</w:t>
      </w:r>
      <w:r>
        <w:rPr>
          <w:rFonts w:hint="eastAsia" w:ascii="Times New Roman" w:hAnsi="Times New Roman" w:eastAsia="楷体_GB2312" w:cs="楷体_GB2312"/>
          <w:color w:val="000000"/>
          <w:sz w:val="32"/>
          <w:szCs w:val="32"/>
        </w:rPr>
        <w:t>。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根据办内人员变动，及时调整办政务公开工作领导小组，明确办公室为政务公开工作主管部门，建立办公室主任、分管主任、专门人员三级工作体系，并向社会发布。办主要领导高度重视政务公开工作，年内多次听取专题工作汇报，研究部署推进工作，制定了《市外办201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8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年度工作目标及考核办法》，将政务公开工作纳入全办年度绩效综合考评，并与相关责任处室签订目标责任状。</w:t>
      </w:r>
    </w:p>
    <w:p>
      <w:pPr>
        <w:spacing w:after="0" w:line="580" w:lineRule="exact"/>
        <w:ind w:firstLine="63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楷体_GB2312" w:cs="楷体_GB2312"/>
          <w:color w:val="000000"/>
          <w:sz w:val="32"/>
          <w:szCs w:val="32"/>
        </w:rPr>
        <w:t>（二）</w:t>
      </w:r>
      <w:r>
        <w:rPr>
          <w:rFonts w:hint="eastAsia" w:ascii="Times New Roman" w:hAnsi="Times New Roman" w:eastAsia="楷体_GB2312" w:cs="楷体_GB2312"/>
          <w:color w:val="000000"/>
          <w:sz w:val="32"/>
          <w:szCs w:val="32"/>
          <w:lang w:eastAsia="zh-CN"/>
        </w:rPr>
        <w:t>完善工作规则，强化制度保障</w:t>
      </w:r>
      <w:r>
        <w:rPr>
          <w:rFonts w:hint="eastAsia" w:ascii="Times New Roman" w:hAnsi="Times New Roman" w:eastAsia="楷体_GB2312" w:cs="楷体_GB2312"/>
          <w:color w:val="000000"/>
          <w:sz w:val="32"/>
          <w:szCs w:val="32"/>
        </w:rPr>
        <w:t>。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为提升政务公开标准化、规范化水平，保障公开工作有章可循，我办不断完善政务公开制度建设，制定了政府信息公开程序，明确发文信息和非发文信息公开程序。出台政府信息公开保密审查制度（试行），要求所有信息公开前需填写政府信息公开审批表，并做好保密审查工作。</w:t>
      </w:r>
    </w:p>
    <w:p>
      <w:pPr>
        <w:spacing w:after="0" w:line="580" w:lineRule="exact"/>
        <w:ind w:firstLine="630"/>
      </w:pPr>
      <w:r>
        <w:rPr>
          <w:rFonts w:hint="eastAsia" w:ascii="Times New Roman" w:hAnsi="Times New Roman" w:eastAsia="楷体_GB2312" w:cs="楷体_GB2312"/>
          <w:color w:val="000000"/>
          <w:sz w:val="32"/>
          <w:szCs w:val="32"/>
          <w:lang w:eastAsia="zh-CN"/>
        </w:rPr>
        <w:t>（三）坚持需求导向，注重公开方式。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在不断深化政府信息公开内容的同时，我办始终坚持以社会需求为导向，坚持“群众想看什么，我们就公开什么”的原则，重点针对人民群众最想知道的、最关心的热点难点问题，重点公开与工作职能、办事程序、行政服务等方面，确保公开内容既全面又突出重点，更好地为经济社会发展和人民群众服务。</w:t>
      </w:r>
    </w:p>
    <w:sectPr>
      <w:footerReference r:id="rId3" w:type="default"/>
      <w:pgSz w:w="11906" w:h="16838"/>
      <w:pgMar w:top="2098" w:right="1531" w:bottom="1928" w:left="1531" w:header="709" w:footer="709" w:gutter="0"/>
      <w:pgNumType w:fmt="numberInDash"/>
      <w:cols w:space="708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2467365"/>
      <w:docPartObj>
        <w:docPartGallery w:val="autotext"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>
        <w:pPr>
          <w:pStyle w:val="3"/>
          <w:jc w:val="center"/>
        </w:pP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-</w:t>
        </w:r>
        <w:r>
          <w:rPr>
            <w:rFonts w:ascii="Times New Roman" w:hAnsi="Times New Roman" w:cs="Times New Roman"/>
            <w:sz w:val="28"/>
            <w:szCs w:val="28"/>
          </w:rPr>
          <w:t xml:space="preserve"> 5 -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7E1B30"/>
    <w:multiLevelType w:val="singleLevel"/>
    <w:tmpl w:val="347E1B30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965F83"/>
    <w:rsid w:val="006F5B9D"/>
    <w:rsid w:val="009B46BC"/>
    <w:rsid w:val="01A26028"/>
    <w:rsid w:val="0397054E"/>
    <w:rsid w:val="04D96E31"/>
    <w:rsid w:val="089A3F74"/>
    <w:rsid w:val="09D605B6"/>
    <w:rsid w:val="0A03075E"/>
    <w:rsid w:val="0AA80C7C"/>
    <w:rsid w:val="0B431F2D"/>
    <w:rsid w:val="0E0C6022"/>
    <w:rsid w:val="0F145E83"/>
    <w:rsid w:val="0F444B69"/>
    <w:rsid w:val="0F5937B6"/>
    <w:rsid w:val="0FCF1A07"/>
    <w:rsid w:val="0FD11DED"/>
    <w:rsid w:val="118E5928"/>
    <w:rsid w:val="126B2C98"/>
    <w:rsid w:val="14220FD9"/>
    <w:rsid w:val="14D0200D"/>
    <w:rsid w:val="14F75489"/>
    <w:rsid w:val="151B0B32"/>
    <w:rsid w:val="15FC5886"/>
    <w:rsid w:val="163C363C"/>
    <w:rsid w:val="16484584"/>
    <w:rsid w:val="165E08F3"/>
    <w:rsid w:val="16C96110"/>
    <w:rsid w:val="18FD63F7"/>
    <w:rsid w:val="191F0F18"/>
    <w:rsid w:val="1B3C1A3D"/>
    <w:rsid w:val="1B5300BA"/>
    <w:rsid w:val="1C0D70C2"/>
    <w:rsid w:val="1E96479C"/>
    <w:rsid w:val="1FDC3D4A"/>
    <w:rsid w:val="205E46E1"/>
    <w:rsid w:val="2081311A"/>
    <w:rsid w:val="208E020A"/>
    <w:rsid w:val="20D2638E"/>
    <w:rsid w:val="219C1A4C"/>
    <w:rsid w:val="22FA5966"/>
    <w:rsid w:val="231979E9"/>
    <w:rsid w:val="240F43C7"/>
    <w:rsid w:val="252750DC"/>
    <w:rsid w:val="26700461"/>
    <w:rsid w:val="270155F8"/>
    <w:rsid w:val="2741209F"/>
    <w:rsid w:val="27985D15"/>
    <w:rsid w:val="27996B31"/>
    <w:rsid w:val="282461F1"/>
    <w:rsid w:val="285C30C0"/>
    <w:rsid w:val="295F256D"/>
    <w:rsid w:val="2A3370E7"/>
    <w:rsid w:val="2C442D34"/>
    <w:rsid w:val="2C522FE9"/>
    <w:rsid w:val="2D1F41CC"/>
    <w:rsid w:val="2E752723"/>
    <w:rsid w:val="2E8146A8"/>
    <w:rsid w:val="2F737864"/>
    <w:rsid w:val="32425988"/>
    <w:rsid w:val="338F6CC3"/>
    <w:rsid w:val="33957DCC"/>
    <w:rsid w:val="33B34229"/>
    <w:rsid w:val="357C78CC"/>
    <w:rsid w:val="35820299"/>
    <w:rsid w:val="3E5315DD"/>
    <w:rsid w:val="406C6EC6"/>
    <w:rsid w:val="40A249B8"/>
    <w:rsid w:val="41657FE4"/>
    <w:rsid w:val="417D3A79"/>
    <w:rsid w:val="419D7FDF"/>
    <w:rsid w:val="41E469FD"/>
    <w:rsid w:val="42401CC1"/>
    <w:rsid w:val="432E6AF3"/>
    <w:rsid w:val="438B235A"/>
    <w:rsid w:val="44C2462B"/>
    <w:rsid w:val="45156EE6"/>
    <w:rsid w:val="46A90BB1"/>
    <w:rsid w:val="482B6EE6"/>
    <w:rsid w:val="48D95D74"/>
    <w:rsid w:val="496148C4"/>
    <w:rsid w:val="49D40087"/>
    <w:rsid w:val="4A83692A"/>
    <w:rsid w:val="4B101BB7"/>
    <w:rsid w:val="4C724210"/>
    <w:rsid w:val="4DF606D0"/>
    <w:rsid w:val="4E24303D"/>
    <w:rsid w:val="4F9E1326"/>
    <w:rsid w:val="51FB601A"/>
    <w:rsid w:val="53F14FB4"/>
    <w:rsid w:val="541A2ED5"/>
    <w:rsid w:val="54FD71B3"/>
    <w:rsid w:val="55961B4E"/>
    <w:rsid w:val="55C22C9D"/>
    <w:rsid w:val="55E115EF"/>
    <w:rsid w:val="56080572"/>
    <w:rsid w:val="568603DB"/>
    <w:rsid w:val="5785050E"/>
    <w:rsid w:val="59B82229"/>
    <w:rsid w:val="5A5216F0"/>
    <w:rsid w:val="5B250949"/>
    <w:rsid w:val="5BF13BDC"/>
    <w:rsid w:val="5C6B186A"/>
    <w:rsid w:val="5D040C12"/>
    <w:rsid w:val="5D213A75"/>
    <w:rsid w:val="5E1B0703"/>
    <w:rsid w:val="5E5105D6"/>
    <w:rsid w:val="5F243794"/>
    <w:rsid w:val="5F4636D4"/>
    <w:rsid w:val="5F6476B4"/>
    <w:rsid w:val="5F755A5A"/>
    <w:rsid w:val="61322C73"/>
    <w:rsid w:val="614C32E3"/>
    <w:rsid w:val="61553825"/>
    <w:rsid w:val="61B50B5F"/>
    <w:rsid w:val="624B1FE8"/>
    <w:rsid w:val="636A7121"/>
    <w:rsid w:val="63B03F5D"/>
    <w:rsid w:val="63B511B5"/>
    <w:rsid w:val="642201BB"/>
    <w:rsid w:val="64724948"/>
    <w:rsid w:val="65D0488C"/>
    <w:rsid w:val="65D53C6F"/>
    <w:rsid w:val="66E71319"/>
    <w:rsid w:val="66EB170E"/>
    <w:rsid w:val="66FA4931"/>
    <w:rsid w:val="67965F83"/>
    <w:rsid w:val="692D78C6"/>
    <w:rsid w:val="6A2534E6"/>
    <w:rsid w:val="6D7D205B"/>
    <w:rsid w:val="6E985491"/>
    <w:rsid w:val="6F291CE7"/>
    <w:rsid w:val="6FD0049F"/>
    <w:rsid w:val="704C09FB"/>
    <w:rsid w:val="72396DAD"/>
    <w:rsid w:val="724E4436"/>
    <w:rsid w:val="75400341"/>
    <w:rsid w:val="75F678F0"/>
    <w:rsid w:val="768B4E0C"/>
    <w:rsid w:val="77377B73"/>
    <w:rsid w:val="78D06BB2"/>
    <w:rsid w:val="792B16ED"/>
    <w:rsid w:val="7A0E067E"/>
    <w:rsid w:val="7A323060"/>
    <w:rsid w:val="7A7E050C"/>
    <w:rsid w:val="7A8036D9"/>
    <w:rsid w:val="7AD574B3"/>
    <w:rsid w:val="7B2450C5"/>
    <w:rsid w:val="7B906356"/>
    <w:rsid w:val="7BC1726C"/>
    <w:rsid w:val="7C116324"/>
    <w:rsid w:val="7C885390"/>
    <w:rsid w:val="7D101A44"/>
    <w:rsid w:val="7D8B1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kern w:val="0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1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page number"/>
    <w:qFormat/>
    <w:uiPriority w:val="0"/>
    <w:rPr>
      <w:sz w:val="28"/>
    </w:rPr>
  </w:style>
  <w:style w:type="character" w:styleId="8">
    <w:name w:val="FollowedHyperlink"/>
    <w:basedOn w:val="5"/>
    <w:qFormat/>
    <w:uiPriority w:val="0"/>
    <w:rPr>
      <w:color w:val="222222"/>
      <w:u w:val="none"/>
    </w:rPr>
  </w:style>
  <w:style w:type="character" w:styleId="9">
    <w:name w:val="Emphasis"/>
    <w:basedOn w:val="5"/>
    <w:qFormat/>
    <w:uiPriority w:val="0"/>
  </w:style>
  <w:style w:type="character" w:styleId="10">
    <w:name w:val="HTML Definition"/>
    <w:basedOn w:val="5"/>
    <w:qFormat/>
    <w:uiPriority w:val="0"/>
  </w:style>
  <w:style w:type="character" w:styleId="11">
    <w:name w:val="HTML Variable"/>
    <w:basedOn w:val="5"/>
    <w:qFormat/>
    <w:uiPriority w:val="0"/>
  </w:style>
  <w:style w:type="character" w:styleId="12">
    <w:name w:val="Hyperlink"/>
    <w:basedOn w:val="5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3">
    <w:name w:val="HTML Code"/>
    <w:basedOn w:val="5"/>
    <w:qFormat/>
    <w:uiPriority w:val="0"/>
    <w:rPr>
      <w:rFonts w:hint="default" w:ascii="Courier New" w:hAnsi="Courier New" w:eastAsia="Courier New" w:cs="Courier New"/>
      <w:sz w:val="20"/>
    </w:rPr>
  </w:style>
  <w:style w:type="character" w:styleId="14">
    <w:name w:val="HTML Cite"/>
    <w:basedOn w:val="5"/>
    <w:qFormat/>
    <w:uiPriority w:val="0"/>
  </w:style>
  <w:style w:type="character" w:styleId="15">
    <w:name w:val="HTML Keyboard"/>
    <w:basedOn w:val="5"/>
    <w:qFormat/>
    <w:uiPriority w:val="0"/>
    <w:rPr>
      <w:rFonts w:ascii="Courier New" w:hAnsi="Courier New" w:eastAsia="Courier New" w:cs="Courier New"/>
      <w:sz w:val="20"/>
    </w:rPr>
  </w:style>
  <w:style w:type="character" w:styleId="16">
    <w:name w:val="HTML Sample"/>
    <w:basedOn w:val="5"/>
    <w:qFormat/>
    <w:uiPriority w:val="0"/>
    <w:rPr>
      <w:rFonts w:hint="default" w:ascii="Courier New" w:hAnsi="Courier New" w:eastAsia="Courier New" w:cs="Courier New"/>
    </w:rPr>
  </w:style>
  <w:style w:type="paragraph" w:customStyle="1" w:styleId="18">
    <w:name w:val="标题1"/>
    <w:basedOn w:val="1"/>
    <w:next w:val="1"/>
    <w:qFormat/>
    <w:uiPriority w:val="0"/>
    <w:pPr>
      <w:widowControl w:val="0"/>
      <w:tabs>
        <w:tab w:val="left" w:pos="9193"/>
        <w:tab w:val="left" w:pos="9827"/>
      </w:tabs>
      <w:autoSpaceDE w:val="0"/>
      <w:autoSpaceDN w:val="0"/>
      <w:adjustRightInd/>
      <w:spacing w:after="0" w:line="640" w:lineRule="atLeast"/>
      <w:jc w:val="center"/>
    </w:pPr>
    <w:rPr>
      <w:rFonts w:ascii="Times New Roman" w:hAnsi="Times New Roman" w:eastAsia="方正小标宋_GBK" w:cs="Times New Roman"/>
      <w:snapToGrid w:val="0"/>
      <w:sz w:val="4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36</TotalTime>
  <ScaleCrop>false</ScaleCrop>
  <LinksUpToDate>false</LinksUpToDate>
  <CharactersWithSpaces>0</CharactersWithSpaces>
  <Application>WPS Office_11.1.0.8013_F1E327BC-269C-435d-A152-05C5408002CA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2018-02-12T02:06:00Z</dcterms:created>
  <dc:creator>Administrator</dc:creator>
  <cp:lastModifiedBy>Administrator</cp:lastModifiedBy>
  <cp:lastPrinted>2019-02-20T02:47:00Z</cp:lastPrinted>
  <dcterms:modified xsi:type="dcterms:W3CDTF">2019-02-21T09:12:23Z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2052-11.1.0.8013</vt:lpwstr>
  </property>
</Properties>
</file>