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jc w:val="center"/>
        <w:rPr>
          <w:rFonts w:ascii="Times New Roman" w:hAnsi="Times New Roman" w:eastAsia="方正小标宋简体" w:cs="Times New Roman"/>
          <w:sz w:val="44"/>
          <w:szCs w:val="44"/>
        </w:rPr>
      </w:pPr>
      <w:bookmarkStart w:id="0" w:name="_Hlk93497324"/>
      <w:bookmarkEnd w:id="0"/>
      <w:r>
        <w:rPr>
          <w:rFonts w:ascii="Times New Roman" w:hAnsi="Times New Roman" w:eastAsia="方正小标宋简体" w:cs="Times New Roman"/>
          <w:sz w:val="44"/>
          <w:szCs w:val="44"/>
        </w:rPr>
        <w:t>宿迁市人民政府外事办公室</w:t>
      </w:r>
    </w:p>
    <w:p>
      <w:pPr>
        <w:spacing w:line="580" w:lineRule="exact"/>
        <w:jc w:val="center"/>
        <w:rPr>
          <w:rStyle w:val="8"/>
          <w:rFonts w:ascii="Times New Roman" w:hAnsi="Times New Roman" w:eastAsia="方正小标宋_GBK" w:cs="Times New Roman"/>
          <w:color w:val="000000" w:themeColor="text1"/>
          <w:spacing w:val="8"/>
          <w:sz w:val="40"/>
          <w:szCs w:val="44"/>
          <w14:textFill>
            <w14:solidFill>
              <w14:schemeClr w14:val="tx1"/>
            </w14:solidFill>
          </w14:textFill>
        </w:rPr>
      </w:pPr>
      <w:r>
        <w:rPr>
          <w:rFonts w:ascii="Times New Roman" w:hAnsi="Times New Roman" w:eastAsia="方正小标宋简体" w:cs="Times New Roman"/>
          <w:sz w:val="44"/>
          <w:szCs w:val="44"/>
        </w:rPr>
        <w:t>20</w:t>
      </w:r>
      <w:r>
        <w:rPr>
          <w:rFonts w:hint="eastAsia" w:ascii="Times New Roman" w:hAnsi="Times New Roman" w:eastAsia="方正小标宋简体" w:cs="Times New Roman"/>
          <w:sz w:val="44"/>
          <w:szCs w:val="44"/>
        </w:rPr>
        <w:t>2</w:t>
      </w:r>
      <w:r>
        <w:rPr>
          <w:rFonts w:hint="eastAsia" w:ascii="Times New Roman" w:hAnsi="Times New Roman" w:eastAsia="方正小标宋简体" w:cs="Times New Roman"/>
          <w:sz w:val="44"/>
          <w:szCs w:val="44"/>
          <w:lang w:val="en-US" w:eastAsia="zh-CN"/>
        </w:rPr>
        <w:t>2</w:t>
      </w:r>
      <w:r>
        <w:rPr>
          <w:rFonts w:ascii="Times New Roman" w:hAnsi="Times New Roman" w:eastAsia="方正小标宋简体" w:cs="Times New Roman"/>
          <w:sz w:val="44"/>
          <w:szCs w:val="44"/>
        </w:rPr>
        <w:t>年</w:t>
      </w:r>
      <w:r>
        <w:rPr>
          <w:rFonts w:eastAsia="方正小标宋简体"/>
          <w:sz w:val="44"/>
        </w:rPr>
        <w:t>政府信息公开工作年度报告</w:t>
      </w:r>
    </w:p>
    <w:p>
      <w:pPr>
        <w:pStyle w:val="4"/>
        <w:spacing w:before="0" w:beforeAutospacing="0" w:after="0" w:afterAutospacing="0" w:line="580" w:lineRule="exact"/>
        <w:jc w:val="center"/>
        <w:rPr>
          <w:rFonts w:ascii="Times New Roman" w:hAnsi="Times New Roman" w:eastAsia="方正小标宋_GBK" w:cs="Times New Roman"/>
          <w:b/>
          <w:color w:val="000000" w:themeColor="text1"/>
          <w:spacing w:val="8"/>
          <w:sz w:val="40"/>
          <w:szCs w:val="44"/>
          <w14:textFill>
            <w14:solidFill>
              <w14:schemeClr w14:val="tx1"/>
            </w14:solidFill>
          </w14:textFill>
        </w:rPr>
      </w:pPr>
    </w:p>
    <w:p>
      <w:pPr>
        <w:pStyle w:val="4"/>
        <w:keepNext w:val="0"/>
        <w:keepLines w:val="0"/>
        <w:pageBreakBefore w:val="0"/>
        <w:kinsoku/>
        <w:wordWrap/>
        <w:overflowPunct/>
        <w:topLinePunct w:val="0"/>
        <w:autoSpaceDE/>
        <w:autoSpaceDN/>
        <w:bidi w:val="0"/>
        <w:adjustRightInd/>
        <w:snapToGrid/>
        <w:spacing w:before="0" w:beforeAutospacing="0" w:after="0" w:afterAutospacing="0" w:line="580" w:lineRule="exact"/>
        <w:ind w:firstLine="675"/>
        <w:jc w:val="both"/>
        <w:textAlignment w:val="auto"/>
        <w:rPr>
          <w:rFonts w:ascii="Times New Roman" w:hAnsi="Times New Roman" w:eastAsia="方正仿宋_GBK" w:cs="Times New Roman"/>
          <w:sz w:val="32"/>
          <w:szCs w:val="32"/>
        </w:rPr>
      </w:pPr>
      <w:r>
        <w:rPr>
          <w:rFonts w:ascii="Times New Roman" w:hAnsi="Times New Roman" w:eastAsia="方正仿宋_GBK" w:cs="Times New Roman"/>
          <w:sz w:val="32"/>
          <w:szCs w:val="32"/>
        </w:rPr>
        <w:t>本报告根据《中华人民共和国政府信息公开条例》（以下简称《条例》）规定编制，内容包括主动公开</w:t>
      </w:r>
      <w:r>
        <w:rPr>
          <w:rFonts w:hint="eastAsia" w:ascii="Times New Roman" w:hAnsi="Times New Roman" w:eastAsia="方正仿宋_GBK" w:cs="Times New Roman"/>
          <w:sz w:val="32"/>
          <w:szCs w:val="32"/>
        </w:rPr>
        <w:t>政府信息的</w:t>
      </w:r>
      <w:r>
        <w:rPr>
          <w:rFonts w:ascii="Times New Roman" w:hAnsi="Times New Roman" w:eastAsia="方正仿宋_GBK" w:cs="Times New Roman"/>
          <w:sz w:val="32"/>
          <w:szCs w:val="32"/>
        </w:rPr>
        <w:t>情况、收到和处理政府信息公开申请的情况、因政府信息公开工作被申请行政复议和提起行政诉讼的情况、</w:t>
      </w:r>
      <w:r>
        <w:rPr>
          <w:rFonts w:hint="eastAsia" w:ascii="Times New Roman" w:hAnsi="Times New Roman" w:eastAsia="方正仿宋_GBK" w:cs="Times New Roman"/>
          <w:sz w:val="32"/>
          <w:szCs w:val="32"/>
        </w:rPr>
        <w:t>政府信息公开工作存在的主要问题及改进情况、</w:t>
      </w:r>
      <w:r>
        <w:rPr>
          <w:rFonts w:ascii="Times New Roman" w:hAnsi="Times New Roman" w:eastAsia="方正仿宋_GBK" w:cs="Times New Roman"/>
          <w:sz w:val="32"/>
          <w:szCs w:val="32"/>
        </w:rPr>
        <w:t>其他需</w:t>
      </w:r>
      <w:r>
        <w:rPr>
          <w:rFonts w:hint="eastAsia" w:ascii="Times New Roman" w:hAnsi="Times New Roman" w:eastAsia="方正仿宋_GBK" w:cs="Times New Roman"/>
          <w:sz w:val="32"/>
          <w:szCs w:val="32"/>
        </w:rPr>
        <w:t>要</w:t>
      </w:r>
      <w:r>
        <w:rPr>
          <w:rFonts w:ascii="Times New Roman" w:hAnsi="Times New Roman" w:eastAsia="方正仿宋_GBK" w:cs="Times New Roman"/>
          <w:sz w:val="32"/>
          <w:szCs w:val="32"/>
        </w:rPr>
        <w:t>报告的事项等。本年报所列数据的统计期限自202</w:t>
      </w:r>
      <w:r>
        <w:rPr>
          <w:rFonts w:hint="eastAsia" w:ascii="Times New Roman" w:hAnsi="Times New Roman" w:eastAsia="方正仿宋_GBK" w:cs="Times New Roman"/>
          <w:sz w:val="32"/>
          <w:szCs w:val="32"/>
          <w:lang w:val="en-US" w:eastAsia="zh-CN"/>
        </w:rPr>
        <w:t>2</w:t>
      </w:r>
      <w:r>
        <w:rPr>
          <w:rFonts w:ascii="Times New Roman" w:hAnsi="Times New Roman" w:eastAsia="方正仿宋_GBK" w:cs="Times New Roman"/>
          <w:sz w:val="32"/>
          <w:szCs w:val="32"/>
        </w:rPr>
        <w:t>年1月1日起至202</w:t>
      </w:r>
      <w:r>
        <w:rPr>
          <w:rFonts w:hint="eastAsia" w:ascii="Times New Roman" w:hAnsi="Times New Roman" w:eastAsia="方正仿宋_GBK" w:cs="Times New Roman"/>
          <w:sz w:val="32"/>
          <w:szCs w:val="32"/>
          <w:lang w:val="en-US" w:eastAsia="zh-CN"/>
        </w:rPr>
        <w:t>2</w:t>
      </w:r>
      <w:r>
        <w:rPr>
          <w:rFonts w:ascii="Times New Roman" w:hAnsi="Times New Roman" w:eastAsia="方正仿宋_GBK" w:cs="Times New Roman"/>
          <w:sz w:val="32"/>
          <w:szCs w:val="32"/>
        </w:rPr>
        <w:t>年12月31日止。</w:t>
      </w:r>
      <w:r>
        <w:rPr>
          <w:rFonts w:hint="eastAsia" w:ascii="Times New Roman" w:hAnsi="Times New Roman" w:eastAsia="方正仿宋_GBK" w:cs="Times New Roman"/>
          <w:sz w:val="32"/>
          <w:szCs w:val="32"/>
        </w:rPr>
        <w:t>本报告的电子版</w:t>
      </w:r>
      <w:r>
        <w:rPr>
          <w:rFonts w:hint="eastAsia" w:ascii="Times New Roman" w:hAnsi="Times New Roman" w:eastAsia="方正仿宋_GBK" w:cs="Times New Roman"/>
          <w:sz w:val="32"/>
          <w:szCs w:val="32"/>
          <w:lang w:val="en-US" w:eastAsia="zh-CN"/>
        </w:rPr>
        <w:t>可在</w:t>
      </w:r>
      <w:r>
        <w:rPr>
          <w:rFonts w:ascii="Times New Roman" w:hAnsi="Times New Roman" w:eastAsia="方正仿宋_GBK" w:cs="Times New Roman"/>
          <w:sz w:val="32"/>
          <w:szCs w:val="32"/>
        </w:rPr>
        <w:t>宿迁市人民政府外事办公室网站（http://sqwsb.suqian.gov.cn/）</w:t>
      </w:r>
      <w:r>
        <w:rPr>
          <w:rFonts w:hint="eastAsia" w:ascii="Times New Roman" w:hAnsi="Times New Roman" w:eastAsia="方正仿宋_GBK" w:cs="Times New Roman"/>
          <w:sz w:val="32"/>
          <w:szCs w:val="32"/>
        </w:rPr>
        <w:t>政府信息公开年报专栏下载</w:t>
      </w:r>
      <w:r>
        <w:rPr>
          <w:rFonts w:ascii="Times New Roman" w:hAnsi="Times New Roman" w:eastAsia="方正仿宋_GBK" w:cs="Times New Roman"/>
          <w:sz w:val="32"/>
          <w:szCs w:val="32"/>
        </w:rPr>
        <w:t>。如对报告有任何疑问，请与宿迁市人民政府外事办公室联系（联系电话：0527—84368680，地址：宿迁市洪泽湖西路</w:t>
      </w:r>
      <w:r>
        <w:rPr>
          <w:rFonts w:hint="eastAsia" w:ascii="Times New Roman" w:hAnsi="Times New Roman" w:eastAsia="方正仿宋_GBK" w:cs="Times New Roman"/>
          <w:sz w:val="32"/>
          <w:szCs w:val="32"/>
        </w:rPr>
        <w:t>1号</w:t>
      </w:r>
      <w:r>
        <w:rPr>
          <w:rFonts w:ascii="Times New Roman" w:hAnsi="Times New Roman" w:eastAsia="方正仿宋_GBK" w:cs="Times New Roman"/>
          <w:sz w:val="32"/>
          <w:szCs w:val="32"/>
        </w:rPr>
        <w:t>东楼1</w:t>
      </w:r>
      <w:r>
        <w:rPr>
          <w:rFonts w:hint="eastAsia" w:ascii="Times New Roman" w:hAnsi="Times New Roman" w:eastAsia="方正仿宋_GBK" w:cs="Times New Roman"/>
          <w:sz w:val="32"/>
          <w:szCs w:val="32"/>
          <w:lang w:val="en-US" w:eastAsia="zh-CN"/>
        </w:rPr>
        <w:t>3</w:t>
      </w:r>
      <w:r>
        <w:rPr>
          <w:rFonts w:ascii="Times New Roman" w:hAnsi="Times New Roman" w:eastAsia="方正仿宋_GBK" w:cs="Times New Roman"/>
          <w:sz w:val="32"/>
          <w:szCs w:val="32"/>
        </w:rPr>
        <w:t>楼，邮政编码：223800，电子邮箱地址：</w:t>
      </w:r>
      <w:r>
        <w:fldChar w:fldCharType="begin"/>
      </w:r>
      <w:r>
        <w:instrText xml:space="preserve"> HYPERLINK "mailto:sqwsbgs@163.com" </w:instrText>
      </w:r>
      <w:r>
        <w:fldChar w:fldCharType="separate"/>
      </w:r>
      <w:r>
        <w:rPr>
          <w:rStyle w:val="9"/>
          <w:rFonts w:ascii="Times New Roman" w:hAnsi="Times New Roman" w:eastAsia="方正仿宋_GBK" w:cs="Times New Roman"/>
          <w:sz w:val="32"/>
          <w:szCs w:val="32"/>
        </w:rPr>
        <w:t>sqwsbgs@163.com</w:t>
      </w:r>
      <w:r>
        <w:rPr>
          <w:rStyle w:val="9"/>
          <w:rFonts w:ascii="Times New Roman" w:hAnsi="Times New Roman" w:eastAsia="方正仿宋_GBK" w:cs="Times New Roman"/>
          <w:sz w:val="32"/>
          <w:szCs w:val="32"/>
        </w:rPr>
        <w:fldChar w:fldCharType="end"/>
      </w:r>
      <w:r>
        <w:rPr>
          <w:rFonts w:ascii="Times New Roman" w:hAnsi="Times New Roman" w:eastAsia="方正仿宋_GBK" w:cs="Times New Roman"/>
          <w:sz w:val="32"/>
          <w:szCs w:val="32"/>
        </w:rPr>
        <w:t>）。</w:t>
      </w:r>
    </w:p>
    <w:p>
      <w:pPr>
        <w:pStyle w:val="4"/>
        <w:keepNext w:val="0"/>
        <w:keepLines w:val="0"/>
        <w:pageBreakBefore w:val="0"/>
        <w:kinsoku/>
        <w:wordWrap/>
        <w:overflowPunct/>
        <w:topLinePunct w:val="0"/>
        <w:autoSpaceDE/>
        <w:autoSpaceDN/>
        <w:bidi w:val="0"/>
        <w:adjustRightInd/>
        <w:snapToGrid/>
        <w:spacing w:before="0" w:beforeAutospacing="0" w:after="0" w:afterAutospacing="0" w:line="580" w:lineRule="exact"/>
        <w:ind w:firstLine="675"/>
        <w:jc w:val="both"/>
        <w:textAlignment w:val="auto"/>
        <w:rPr>
          <w:rFonts w:ascii="方正黑体_GBK" w:hAnsi="Times New Roman" w:eastAsia="方正黑体_GBK" w:cs="Times New Roman"/>
          <w:sz w:val="32"/>
          <w:szCs w:val="32"/>
        </w:rPr>
      </w:pPr>
      <w:r>
        <w:rPr>
          <w:rFonts w:hint="eastAsia" w:ascii="方正黑体_GBK" w:hAnsi="Times New Roman" w:eastAsia="方正黑体_GBK" w:cs="Times New Roman"/>
          <w:sz w:val="32"/>
          <w:szCs w:val="32"/>
        </w:rPr>
        <w:t>一、总体情况</w:t>
      </w:r>
    </w:p>
    <w:p>
      <w:pPr>
        <w:pStyle w:val="4"/>
        <w:keepNext w:val="0"/>
        <w:keepLines w:val="0"/>
        <w:pageBreakBefore w:val="0"/>
        <w:kinsoku/>
        <w:wordWrap/>
        <w:overflowPunct/>
        <w:topLinePunct w:val="0"/>
        <w:autoSpaceDE/>
        <w:autoSpaceDN/>
        <w:bidi w:val="0"/>
        <w:adjustRightInd/>
        <w:snapToGrid/>
        <w:spacing w:before="0" w:beforeAutospacing="0" w:after="0" w:afterAutospacing="0" w:line="580" w:lineRule="exact"/>
        <w:ind w:firstLine="675"/>
        <w:jc w:val="both"/>
        <w:textAlignment w:val="auto"/>
        <w:rPr>
          <w:rFonts w:ascii="Times New Roman" w:hAnsi="Times New Roman" w:eastAsia="方正仿宋_GBK" w:cs="Times New Roman"/>
          <w:color w:val="000000" w:themeColor="text1"/>
          <w:spacing w:val="8"/>
          <w:sz w:val="32"/>
          <w:szCs w:val="32"/>
          <w14:textFill>
            <w14:solidFill>
              <w14:schemeClr w14:val="tx1"/>
            </w14:solidFill>
          </w14:textFill>
        </w:rPr>
      </w:pPr>
      <w:r>
        <w:rPr>
          <w:rFonts w:ascii="Times New Roman" w:hAnsi="Times New Roman" w:eastAsia="方正仿宋_GBK" w:cs="Times New Roman"/>
          <w:color w:val="000000" w:themeColor="text1"/>
          <w:spacing w:val="8"/>
          <w:sz w:val="32"/>
          <w:szCs w:val="32"/>
          <w14:textFill>
            <w14:solidFill>
              <w14:schemeClr w14:val="tx1"/>
            </w14:solidFill>
          </w14:textFill>
        </w:rPr>
        <w:t>202</w:t>
      </w:r>
      <w:r>
        <w:rPr>
          <w:rFonts w:hint="eastAsia" w:ascii="Times New Roman" w:hAnsi="Times New Roman" w:eastAsia="方正仿宋_GBK" w:cs="Times New Roman"/>
          <w:color w:val="000000" w:themeColor="text1"/>
          <w:spacing w:val="8"/>
          <w:sz w:val="32"/>
          <w:szCs w:val="32"/>
          <w:lang w:val="en-US" w:eastAsia="zh-CN"/>
          <w14:textFill>
            <w14:solidFill>
              <w14:schemeClr w14:val="tx1"/>
            </w14:solidFill>
          </w14:textFill>
        </w:rPr>
        <w:t>2</w:t>
      </w:r>
      <w:r>
        <w:rPr>
          <w:rFonts w:ascii="Times New Roman" w:hAnsi="Times New Roman" w:eastAsia="方正仿宋_GBK" w:cs="Times New Roman"/>
          <w:color w:val="000000" w:themeColor="text1"/>
          <w:spacing w:val="8"/>
          <w:sz w:val="32"/>
          <w:szCs w:val="32"/>
          <w14:textFill>
            <w14:solidFill>
              <w14:schemeClr w14:val="tx1"/>
            </w14:solidFill>
          </w14:textFill>
        </w:rPr>
        <w:t>年，我办</w:t>
      </w:r>
      <w:r>
        <w:rPr>
          <w:rFonts w:ascii="Times New Roman" w:hAnsi="Times New Roman" w:eastAsia="方正仿宋_GBK" w:cs="Times New Roman"/>
          <w:sz w:val="32"/>
          <w:szCs w:val="32"/>
          <w:shd w:val="clear" w:color="auto" w:fill="FFFFFF"/>
        </w:rPr>
        <w:t>认真贯彻落实</w:t>
      </w:r>
      <w:r>
        <w:rPr>
          <w:rFonts w:ascii="Times New Roman" w:eastAsia="方正仿宋_GBK" w:cs="Times New Roman"/>
          <w:sz w:val="32"/>
          <w:szCs w:val="32"/>
          <w:shd w:val="clear" w:color="auto" w:fill="FFFFFF"/>
        </w:rPr>
        <w:t>党中央国务院、省委省政府和市委市政府关于政务公开的部署要求，紧紧围绕党和政府中心工作及企业群众最关心最直接最现实的利益问题，准确执行《条例》，以标准化规范化建设为抓手，以高质量公开助力推进政府治理体系和治理能力现代化，为实现经济社会发展目标任务提供有力的外事工作支撑。</w:t>
      </w:r>
      <w:r>
        <w:rPr>
          <w:rFonts w:hint="eastAsia" w:ascii="Times New Roman" w:hAnsi="Times New Roman" w:eastAsia="方正仿宋_GBK" w:cs="Times New Roman"/>
          <w:color w:val="000000" w:themeColor="text1"/>
          <w:spacing w:val="8"/>
          <w:sz w:val="32"/>
          <w:szCs w:val="32"/>
          <w14:textFill>
            <w14:solidFill>
              <w14:schemeClr w14:val="tx1"/>
            </w14:solidFill>
          </w14:textFill>
        </w:rPr>
        <w:t>全年</w:t>
      </w:r>
      <w:r>
        <w:rPr>
          <w:rFonts w:ascii="Times New Roman" w:hAnsi="Times New Roman" w:eastAsia="方正仿宋_GBK" w:cs="Times New Roman"/>
          <w:color w:val="000000" w:themeColor="text1"/>
          <w:spacing w:val="8"/>
          <w:sz w:val="32"/>
          <w:szCs w:val="32"/>
          <w14:textFill>
            <w14:solidFill>
              <w14:schemeClr w14:val="tx1"/>
            </w14:solidFill>
          </w14:textFill>
        </w:rPr>
        <w:t>我办主动公开信息</w:t>
      </w:r>
      <w:r>
        <w:rPr>
          <w:rFonts w:hint="eastAsia" w:ascii="Times New Roman" w:hAnsi="Times New Roman" w:eastAsia="方正仿宋_GBK" w:cs="Times New Roman"/>
          <w:color w:val="000000" w:themeColor="text1"/>
          <w:spacing w:val="8"/>
          <w:sz w:val="32"/>
          <w:szCs w:val="32"/>
          <w:lang w:val="en-US" w:eastAsia="zh-CN"/>
          <w14:textFill>
            <w14:solidFill>
              <w14:schemeClr w14:val="tx1"/>
            </w14:solidFill>
          </w14:textFill>
        </w:rPr>
        <w:t>469</w:t>
      </w:r>
      <w:r>
        <w:rPr>
          <w:rFonts w:ascii="Times New Roman" w:hAnsi="Times New Roman" w:eastAsia="方正仿宋_GBK" w:cs="Times New Roman"/>
          <w:color w:val="000000" w:themeColor="text1"/>
          <w:spacing w:val="8"/>
          <w:sz w:val="32"/>
          <w:szCs w:val="32"/>
          <w14:textFill>
            <w14:solidFill>
              <w14:schemeClr w14:val="tx1"/>
            </w14:solidFill>
          </w14:textFill>
        </w:rPr>
        <w:t>条，其中在网上宿迁门户网站和本部门网站政府信息公开栏目主动公开21条，通过部门网站发布概况类、政务动态等信息</w:t>
      </w:r>
      <w:r>
        <w:rPr>
          <w:rFonts w:hint="eastAsia" w:ascii="Times New Roman" w:hAnsi="Times New Roman" w:eastAsia="方正仿宋_GBK" w:cs="Times New Roman"/>
          <w:color w:val="000000" w:themeColor="text1"/>
          <w:spacing w:val="8"/>
          <w:sz w:val="32"/>
          <w:szCs w:val="32"/>
          <w:lang w:val="en-US" w:eastAsia="zh-CN"/>
          <w14:textFill>
            <w14:solidFill>
              <w14:schemeClr w14:val="tx1"/>
            </w14:solidFill>
          </w14:textFill>
        </w:rPr>
        <w:t>448</w:t>
      </w:r>
      <w:r>
        <w:rPr>
          <w:rFonts w:ascii="Times New Roman" w:hAnsi="Times New Roman" w:eastAsia="方正仿宋_GBK" w:cs="Times New Roman"/>
          <w:color w:val="000000" w:themeColor="text1"/>
          <w:spacing w:val="8"/>
          <w:sz w:val="32"/>
          <w:szCs w:val="32"/>
          <w14:textFill>
            <w14:solidFill>
              <w14:schemeClr w14:val="tx1"/>
            </w14:solidFill>
          </w14:textFill>
        </w:rPr>
        <w:t>条，政务微信推送信息</w:t>
      </w:r>
      <w:r>
        <w:rPr>
          <w:rFonts w:hint="eastAsia" w:ascii="Times New Roman" w:hAnsi="Times New Roman" w:eastAsia="方正仿宋_GBK" w:cs="Times New Roman"/>
          <w:color w:val="000000" w:themeColor="text1"/>
          <w:spacing w:val="8"/>
          <w:sz w:val="32"/>
          <w:szCs w:val="32"/>
          <w:lang w:val="en-US" w:eastAsia="zh-CN"/>
          <w14:textFill>
            <w14:solidFill>
              <w14:schemeClr w14:val="tx1"/>
            </w14:solidFill>
          </w14:textFill>
        </w:rPr>
        <w:t>827</w:t>
      </w:r>
      <w:r>
        <w:rPr>
          <w:rFonts w:ascii="Times New Roman" w:hAnsi="Times New Roman" w:eastAsia="方正仿宋_GBK" w:cs="Times New Roman"/>
          <w:color w:val="000000" w:themeColor="text1"/>
          <w:spacing w:val="8"/>
          <w:sz w:val="32"/>
          <w:szCs w:val="32"/>
          <w14:textFill>
            <w14:solidFill>
              <w14:schemeClr w14:val="tx1"/>
            </w14:solidFill>
          </w14:textFill>
        </w:rPr>
        <w:t>条。</w:t>
      </w:r>
    </w:p>
    <w:p>
      <w:pPr>
        <w:pStyle w:val="4"/>
        <w:keepNext w:val="0"/>
        <w:keepLines w:val="0"/>
        <w:pageBreakBefore w:val="0"/>
        <w:numPr>
          <w:ilvl w:val="0"/>
          <w:numId w:val="0"/>
        </w:numPr>
        <w:kinsoku/>
        <w:wordWrap/>
        <w:overflowPunct/>
        <w:topLinePunct w:val="0"/>
        <w:autoSpaceDE/>
        <w:autoSpaceDN/>
        <w:bidi w:val="0"/>
        <w:adjustRightInd/>
        <w:snapToGrid/>
        <w:spacing w:before="0" w:beforeAutospacing="0" w:after="0" w:afterAutospacing="0" w:line="580" w:lineRule="exact"/>
        <w:ind w:firstLine="640" w:firstLineChars="200"/>
        <w:jc w:val="both"/>
        <w:textAlignment w:val="auto"/>
        <w:rPr>
          <w:rFonts w:hint="eastAsia" w:ascii="Times New Roman" w:hAnsi="Times New Roman" w:eastAsia="方正仿宋_GBK" w:cs="Times New Roman"/>
          <w:color w:val="222222"/>
          <w:sz w:val="32"/>
          <w:szCs w:val="32"/>
          <w:lang w:eastAsia="zh-CN"/>
        </w:rPr>
      </w:pPr>
      <w:r>
        <w:rPr>
          <w:rFonts w:hint="eastAsia" w:ascii="方正楷体_GBK" w:eastAsia="方正楷体_GBK" w:cs="Times New Roman"/>
          <w:sz w:val="32"/>
          <w:szCs w:val="32"/>
          <w:shd w:val="clear" w:color="auto" w:fill="FFFFFF"/>
          <w:lang w:eastAsia="zh-CN"/>
        </w:rPr>
        <w:t>（</w:t>
      </w:r>
      <w:r>
        <w:rPr>
          <w:rFonts w:hint="eastAsia" w:ascii="方正楷体_GBK" w:eastAsia="方正楷体_GBK" w:cs="Times New Roman"/>
          <w:sz w:val="32"/>
          <w:szCs w:val="32"/>
          <w:shd w:val="clear" w:color="auto" w:fill="FFFFFF"/>
          <w:lang w:val="en-US" w:eastAsia="zh-CN"/>
        </w:rPr>
        <w:t>一</w:t>
      </w:r>
      <w:r>
        <w:rPr>
          <w:rFonts w:hint="eastAsia" w:ascii="方正楷体_GBK" w:eastAsia="方正楷体_GBK" w:cs="Times New Roman"/>
          <w:sz w:val="32"/>
          <w:szCs w:val="32"/>
          <w:shd w:val="clear" w:color="auto" w:fill="FFFFFF"/>
          <w:lang w:eastAsia="zh-CN"/>
        </w:rPr>
        <w:t>）</w:t>
      </w:r>
      <w:r>
        <w:rPr>
          <w:rFonts w:hint="eastAsia" w:ascii="方正楷体_GBK" w:eastAsia="方正楷体_GBK" w:cs="Times New Roman"/>
          <w:sz w:val="32"/>
          <w:szCs w:val="32"/>
          <w:shd w:val="clear" w:color="auto" w:fill="FFFFFF"/>
        </w:rPr>
        <w:t>强化组织领导，压实工作责任。</w:t>
      </w:r>
      <w:r>
        <w:rPr>
          <w:rFonts w:hint="eastAsia" w:ascii="Times New Roman" w:eastAsia="方正仿宋_GBK" w:cs="Times New Roman"/>
          <w:sz w:val="32"/>
          <w:szCs w:val="32"/>
          <w:shd w:val="clear" w:color="auto" w:fill="FFFFFF"/>
        </w:rPr>
        <w:t>办</w:t>
      </w:r>
      <w:r>
        <w:rPr>
          <w:rFonts w:ascii="Times New Roman" w:eastAsia="方正仿宋_GBK" w:cs="Times New Roman"/>
          <w:sz w:val="32"/>
          <w:szCs w:val="32"/>
          <w:shd w:val="clear" w:color="auto" w:fill="FFFFFF"/>
        </w:rPr>
        <w:t>政务公开工作领导小组定期听取政务公开工作</w:t>
      </w:r>
      <w:r>
        <w:rPr>
          <w:rFonts w:hint="eastAsia" w:ascii="Times New Roman" w:eastAsia="方正仿宋_GBK" w:cs="Times New Roman"/>
          <w:sz w:val="32"/>
          <w:szCs w:val="32"/>
          <w:shd w:val="clear" w:color="auto" w:fill="FFFFFF"/>
        </w:rPr>
        <w:t>情况</w:t>
      </w:r>
      <w:r>
        <w:rPr>
          <w:rFonts w:ascii="Times New Roman" w:eastAsia="方正仿宋_GBK" w:cs="Times New Roman"/>
          <w:sz w:val="32"/>
          <w:szCs w:val="32"/>
          <w:shd w:val="clear" w:color="auto" w:fill="FFFFFF"/>
        </w:rPr>
        <w:t>汇报，切实履行职责，及时研究解决政务公开工作中遇到的问题</w:t>
      </w:r>
      <w:r>
        <w:rPr>
          <w:rFonts w:hint="eastAsia" w:ascii="Times New Roman" w:eastAsia="方正仿宋_GBK" w:cs="Times New Roman"/>
          <w:sz w:val="32"/>
          <w:szCs w:val="32"/>
          <w:shd w:val="clear" w:color="auto" w:fill="FFFFFF"/>
        </w:rPr>
        <w:t>，</w:t>
      </w:r>
      <w:r>
        <w:rPr>
          <w:rFonts w:ascii="Times New Roman" w:hAnsi="Times New Roman" w:eastAsia="方正仿宋_GBK" w:cs="Times New Roman"/>
          <w:color w:val="000000" w:themeColor="text1"/>
          <w:spacing w:val="8"/>
          <w:sz w:val="32"/>
          <w:szCs w:val="32"/>
          <w14:textFill>
            <w14:solidFill>
              <w14:schemeClr w14:val="tx1"/>
            </w14:solidFill>
          </w14:textFill>
        </w:rPr>
        <w:t>研究部署推进工作</w:t>
      </w:r>
      <w:r>
        <w:rPr>
          <w:rFonts w:hint="eastAsia" w:ascii="Times New Roman" w:hAnsi="Times New Roman" w:eastAsia="方正仿宋_GBK" w:cs="Times New Roman"/>
          <w:color w:val="000000" w:themeColor="text1"/>
          <w:spacing w:val="8"/>
          <w:sz w:val="32"/>
          <w:szCs w:val="32"/>
          <w14:textFill>
            <w14:solidFill>
              <w14:schemeClr w14:val="tx1"/>
            </w14:solidFill>
          </w14:textFill>
        </w:rPr>
        <w:t>，</w:t>
      </w:r>
      <w:r>
        <w:rPr>
          <w:rFonts w:ascii="Times New Roman" w:hAnsi="Times New Roman" w:eastAsia="方正仿宋_GBK" w:cs="Times New Roman"/>
          <w:sz w:val="32"/>
          <w:szCs w:val="32"/>
        </w:rPr>
        <w:t>制定</w:t>
      </w:r>
      <w:r>
        <w:rPr>
          <w:rFonts w:hint="eastAsia" w:ascii="Times New Roman" w:hAnsi="Times New Roman" w:eastAsia="方正仿宋_GBK" w:cs="Times New Roman"/>
          <w:sz w:val="32"/>
          <w:szCs w:val="32"/>
        </w:rPr>
        <w:t>并公开了</w:t>
      </w:r>
      <w:r>
        <w:rPr>
          <w:rFonts w:ascii="Times New Roman" w:hAnsi="Times New Roman" w:eastAsia="方正仿宋_GBK" w:cs="Times New Roman"/>
          <w:color w:val="222222"/>
          <w:sz w:val="32"/>
          <w:szCs w:val="32"/>
        </w:rPr>
        <w:t>《市外办202</w:t>
      </w:r>
      <w:r>
        <w:rPr>
          <w:rFonts w:hint="eastAsia" w:ascii="Times New Roman" w:hAnsi="Times New Roman" w:eastAsia="方正仿宋_GBK" w:cs="Times New Roman"/>
          <w:color w:val="222222"/>
          <w:sz w:val="32"/>
          <w:szCs w:val="32"/>
          <w:lang w:val="en-US" w:eastAsia="zh-CN"/>
        </w:rPr>
        <w:t>2</w:t>
      </w:r>
      <w:r>
        <w:rPr>
          <w:rFonts w:ascii="Times New Roman" w:hAnsi="Times New Roman" w:eastAsia="方正仿宋_GBK" w:cs="Times New Roman"/>
          <w:color w:val="222222"/>
          <w:sz w:val="32"/>
          <w:szCs w:val="32"/>
        </w:rPr>
        <w:t>年政务公开工作方案》</w:t>
      </w:r>
      <w:r>
        <w:rPr>
          <w:rFonts w:hint="eastAsia" w:ascii="Times New Roman" w:hAnsi="Times New Roman" w:eastAsia="方正仿宋_GBK" w:cs="Times New Roman"/>
          <w:color w:val="222222"/>
          <w:sz w:val="32"/>
          <w:szCs w:val="32"/>
        </w:rPr>
        <w:t>，</w:t>
      </w:r>
      <w:r>
        <w:rPr>
          <w:rFonts w:ascii="Times New Roman" w:hAnsi="Times New Roman" w:eastAsia="方正仿宋_GBK" w:cs="Times New Roman"/>
          <w:color w:val="222222"/>
          <w:sz w:val="32"/>
          <w:szCs w:val="32"/>
        </w:rPr>
        <w:t>确保市外办政务公开工作稳步推进。</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宋体" w:eastAsia="方正仿宋_GBK" w:cs="Times New Roman"/>
          <w:kern w:val="0"/>
          <w:sz w:val="32"/>
          <w:szCs w:val="32"/>
          <w:shd w:val="clear" w:color="auto" w:fill="FFFFFF"/>
        </w:rPr>
      </w:pPr>
      <w:r>
        <w:rPr>
          <w:rFonts w:hint="eastAsia" w:ascii="Times New Roman" w:hAnsi="Times New Roman" w:eastAsia="方正仿宋_GBK" w:cs="Times New Roman"/>
          <w:color w:val="222222"/>
          <w:sz w:val="32"/>
          <w:szCs w:val="32"/>
          <w:lang w:eastAsia="zh-CN"/>
        </w:rPr>
        <w:drawing>
          <wp:anchor distT="0" distB="0" distL="114300" distR="114300" simplePos="0" relativeHeight="251659264" behindDoc="0" locked="0" layoutInCell="1" allowOverlap="1">
            <wp:simplePos x="0" y="0"/>
            <wp:positionH relativeFrom="column">
              <wp:posOffset>-137160</wp:posOffset>
            </wp:positionH>
            <wp:positionV relativeFrom="paragraph">
              <wp:posOffset>117475</wp:posOffset>
            </wp:positionV>
            <wp:extent cx="5601335" cy="2654300"/>
            <wp:effectExtent l="0" t="0" r="18415" b="12700"/>
            <wp:wrapTopAndBottom/>
            <wp:docPr id="2" name="图片 2" descr="b02309dc99897cfe19fe5e68f2c6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02309dc99897cfe19fe5e68f2c696d"/>
                    <pic:cNvPicPr>
                      <a:picLocks noChangeAspect="1"/>
                    </pic:cNvPicPr>
                  </pic:nvPicPr>
                  <pic:blipFill>
                    <a:blip r:embed="rId5"/>
                    <a:stretch>
                      <a:fillRect/>
                    </a:stretch>
                  </pic:blipFill>
                  <pic:spPr>
                    <a:xfrm>
                      <a:off x="0" y="0"/>
                      <a:ext cx="5601335" cy="2654300"/>
                    </a:xfrm>
                    <a:prstGeom prst="rect">
                      <a:avLst/>
                    </a:prstGeom>
                  </pic:spPr>
                </pic:pic>
              </a:graphicData>
            </a:graphic>
          </wp:anchor>
        </w:drawing>
      </w:r>
      <w:r>
        <w:rPr>
          <w:rFonts w:hint="eastAsia" w:ascii="方正楷体_GBK" w:hAnsi="Times New Roman" w:eastAsia="方正楷体_GBK" w:cs="Times New Roman"/>
          <w:color w:val="000000" w:themeColor="text1"/>
          <w:spacing w:val="8"/>
          <w:sz w:val="32"/>
          <w:szCs w:val="32"/>
          <w14:textFill>
            <w14:solidFill>
              <w14:schemeClr w14:val="tx1"/>
            </w14:solidFill>
          </w14:textFill>
        </w:rPr>
        <w:t>（</w:t>
      </w:r>
      <w:r>
        <w:rPr>
          <w:rFonts w:hint="eastAsia" w:ascii="方正楷体_GBK" w:hAnsi="Times New Roman" w:eastAsia="方正楷体_GBK" w:cs="Times New Roman"/>
          <w:color w:val="000000" w:themeColor="text1"/>
          <w:spacing w:val="8"/>
          <w:sz w:val="32"/>
          <w:szCs w:val="32"/>
          <w:lang w:val="en-US" w:eastAsia="zh-CN"/>
          <w14:textFill>
            <w14:solidFill>
              <w14:schemeClr w14:val="tx1"/>
            </w14:solidFill>
          </w14:textFill>
        </w:rPr>
        <w:t>二</w:t>
      </w:r>
      <w:r>
        <w:rPr>
          <w:rFonts w:hint="eastAsia" w:ascii="方正楷体_GBK" w:hAnsi="Times New Roman" w:eastAsia="方正楷体_GBK" w:cs="Times New Roman"/>
          <w:color w:val="000000" w:themeColor="text1"/>
          <w:spacing w:val="8"/>
          <w:sz w:val="32"/>
          <w:szCs w:val="32"/>
          <w14:textFill>
            <w14:solidFill>
              <w14:schemeClr w14:val="tx1"/>
            </w14:solidFill>
          </w14:textFill>
        </w:rPr>
        <w:t>）落实工作责任，强化涉外疫情</w:t>
      </w:r>
      <w:r>
        <w:rPr>
          <w:rFonts w:ascii="方正楷体_GBK" w:hAnsi="Times New Roman" w:eastAsia="方正楷体_GBK" w:cs="Times New Roman"/>
          <w:color w:val="000000" w:themeColor="text1"/>
          <w:spacing w:val="8"/>
          <w:sz w:val="32"/>
          <w:szCs w:val="32"/>
          <w14:textFill>
            <w14:solidFill>
              <w14:schemeClr w14:val="tx1"/>
            </w14:solidFill>
          </w14:textFill>
        </w:rPr>
        <w:t>信息公开</w:t>
      </w:r>
      <w:r>
        <w:rPr>
          <w:rFonts w:hint="eastAsia" w:ascii="Times New Roman" w:hAnsi="宋体" w:eastAsia="方正仿宋_GBK" w:cs="Times New Roman"/>
          <w:kern w:val="0"/>
          <w:sz w:val="32"/>
          <w:szCs w:val="32"/>
          <w:shd w:val="clear" w:color="auto" w:fill="FFFFFF"/>
        </w:rPr>
        <w:t>。在市新型冠状病毒</w:t>
      </w:r>
      <w:r>
        <w:rPr>
          <w:rFonts w:hint="eastAsia" w:ascii="Times New Roman" w:hAnsi="宋体" w:eastAsia="方正仿宋_GBK" w:cs="Times New Roman"/>
          <w:kern w:val="0"/>
          <w:sz w:val="32"/>
          <w:szCs w:val="32"/>
          <w:shd w:val="clear" w:color="auto" w:fill="FFFFFF"/>
          <w:lang w:val="en-US" w:eastAsia="zh-CN"/>
        </w:rPr>
        <w:t>感染</w:t>
      </w:r>
      <w:r>
        <w:rPr>
          <w:rFonts w:hint="eastAsia" w:ascii="Times New Roman" w:hAnsi="宋体" w:eastAsia="方正仿宋_GBK" w:cs="Times New Roman"/>
          <w:kern w:val="0"/>
          <w:sz w:val="32"/>
          <w:szCs w:val="32"/>
          <w:shd w:val="clear" w:color="auto" w:fill="FFFFFF"/>
        </w:rPr>
        <w:t>疫情防控工作领</w:t>
      </w:r>
      <w:bookmarkStart w:id="1" w:name="_GoBack"/>
      <w:bookmarkEnd w:id="1"/>
      <w:r>
        <w:rPr>
          <w:rFonts w:hint="eastAsia" w:ascii="Times New Roman" w:hAnsi="宋体" w:eastAsia="方正仿宋_GBK" w:cs="Times New Roman"/>
          <w:kern w:val="0"/>
          <w:sz w:val="32"/>
          <w:szCs w:val="32"/>
          <w:shd w:val="clear" w:color="auto" w:fill="FFFFFF"/>
        </w:rPr>
        <w:t>导小组的领导下，常态化做好涉外疫情防控工作，依法依规做到信息发布的及时、准确、公开、透明。通过网站、政务新媒体等渠道每日发布中、英、日、韩四个语种的涉外疫情相关信息和政策。</w:t>
      </w:r>
    </w:p>
    <w:p>
      <w:pPr>
        <w:keepNext w:val="0"/>
        <w:keepLines w:val="0"/>
        <w:pageBreakBefore w:val="0"/>
        <w:kinsoku/>
        <w:wordWrap/>
        <w:overflowPunct/>
        <w:topLinePunct w:val="0"/>
        <w:autoSpaceDE/>
        <w:autoSpaceDN/>
        <w:bidi w:val="0"/>
        <w:adjustRightInd/>
        <w:snapToGrid/>
        <w:spacing w:line="580" w:lineRule="exact"/>
        <w:textAlignment w:val="auto"/>
        <w:rPr>
          <w:rFonts w:hint="eastAsia" w:ascii="Times New Roman" w:hAnsi="宋体" w:eastAsia="方正仿宋_GBK" w:cs="Times New Roman"/>
          <w:kern w:val="0"/>
          <w:sz w:val="32"/>
          <w:szCs w:val="32"/>
          <w:shd w:val="clear" w:color="auto" w:fill="FFFFFF"/>
          <w:lang w:eastAsia="zh-CN"/>
        </w:rPr>
      </w:pPr>
      <w:r>
        <w:rPr>
          <w:rFonts w:hint="eastAsia" w:ascii="Times New Roman" w:hAnsi="宋体" w:eastAsia="方正仿宋_GBK" w:cs="Times New Roman"/>
          <w:kern w:val="0"/>
          <w:sz w:val="32"/>
          <w:szCs w:val="32"/>
          <w:shd w:val="clear" w:color="auto" w:fill="FFFFFF"/>
          <w:lang w:eastAsia="zh-CN"/>
        </w:rPr>
        <w:drawing>
          <wp:anchor distT="0" distB="0" distL="114300" distR="114300" simplePos="0" relativeHeight="251662336" behindDoc="0" locked="0" layoutInCell="1" allowOverlap="1">
            <wp:simplePos x="0" y="0"/>
            <wp:positionH relativeFrom="column">
              <wp:posOffset>-27940</wp:posOffset>
            </wp:positionH>
            <wp:positionV relativeFrom="paragraph">
              <wp:posOffset>116840</wp:posOffset>
            </wp:positionV>
            <wp:extent cx="5605780" cy="3310890"/>
            <wp:effectExtent l="0" t="0" r="13970" b="3810"/>
            <wp:wrapTopAndBottom/>
            <wp:docPr id="11" name="图片 11" descr="dc142901e3e222f0c5ae262970682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c142901e3e222f0c5ae262970682e7"/>
                    <pic:cNvPicPr>
                      <a:picLocks noChangeAspect="1"/>
                    </pic:cNvPicPr>
                  </pic:nvPicPr>
                  <pic:blipFill>
                    <a:blip r:embed="rId6"/>
                    <a:stretch>
                      <a:fillRect/>
                    </a:stretch>
                  </pic:blipFill>
                  <pic:spPr>
                    <a:xfrm>
                      <a:off x="0" y="0"/>
                      <a:ext cx="5605780" cy="3310890"/>
                    </a:xfrm>
                    <a:prstGeom prst="rect">
                      <a:avLst/>
                    </a:prstGeom>
                  </pic:spPr>
                </pic:pic>
              </a:graphicData>
            </a:graphic>
          </wp:anchor>
        </w:drawing>
      </w:r>
      <w:r>
        <w:rPr>
          <w:rFonts w:hint="eastAsia" w:ascii="Times New Roman" w:hAnsi="宋体" w:eastAsia="方正仿宋_GBK" w:cs="Times New Roman"/>
          <w:kern w:val="0"/>
          <w:sz w:val="32"/>
          <w:szCs w:val="32"/>
          <w:shd w:val="clear" w:color="auto" w:fill="FFFFFF"/>
          <w:lang w:val="en-US" w:eastAsia="zh-CN"/>
        </w:rPr>
        <w:t xml:space="preserve">    </w:t>
      </w:r>
      <w:r>
        <w:rPr>
          <w:rFonts w:hint="eastAsia" w:ascii="方正楷体_GBK" w:hAnsi="Times New Roman" w:eastAsia="方正楷体_GBK" w:cs="Times New Roman"/>
          <w:color w:val="000000" w:themeColor="text1"/>
          <w:spacing w:val="8"/>
          <w:sz w:val="32"/>
          <w:szCs w:val="32"/>
          <w:lang w:eastAsia="zh-CN"/>
          <w14:textFill>
            <w14:solidFill>
              <w14:schemeClr w14:val="tx1"/>
            </w14:solidFill>
          </w14:textFill>
        </w:rPr>
        <w:t>（</w:t>
      </w:r>
      <w:r>
        <w:rPr>
          <w:rFonts w:hint="eastAsia" w:ascii="方正楷体_GBK" w:hAnsi="Times New Roman" w:eastAsia="方正楷体_GBK" w:cs="Times New Roman"/>
          <w:color w:val="000000" w:themeColor="text1"/>
          <w:spacing w:val="8"/>
          <w:sz w:val="32"/>
          <w:szCs w:val="32"/>
          <w:lang w:val="en-US" w:eastAsia="zh-CN"/>
          <w14:textFill>
            <w14:solidFill>
              <w14:schemeClr w14:val="tx1"/>
            </w14:solidFill>
          </w14:textFill>
        </w:rPr>
        <w:t>三</w:t>
      </w:r>
      <w:r>
        <w:rPr>
          <w:rFonts w:hint="eastAsia" w:ascii="方正楷体_GBK" w:hAnsi="Times New Roman" w:eastAsia="方正楷体_GBK" w:cs="Times New Roman"/>
          <w:color w:val="000000" w:themeColor="text1"/>
          <w:spacing w:val="8"/>
          <w:sz w:val="32"/>
          <w:szCs w:val="32"/>
          <w:lang w:eastAsia="zh-CN"/>
          <w14:textFill>
            <w14:solidFill>
              <w14:schemeClr w14:val="tx1"/>
            </w14:solidFill>
          </w14:textFill>
        </w:rPr>
        <w:t>）着眼财政信息，稳妥公开部门预算、决算信息。</w:t>
      </w:r>
      <w:r>
        <w:rPr>
          <w:rFonts w:hint="eastAsia" w:ascii="Times New Roman" w:hAnsi="宋体" w:eastAsia="方正仿宋_GBK" w:cs="Times New Roman"/>
          <w:kern w:val="0"/>
          <w:sz w:val="32"/>
          <w:szCs w:val="32"/>
          <w:shd w:val="clear" w:color="auto" w:fill="FFFFFF"/>
          <w:lang w:eastAsia="zh-CN"/>
        </w:rPr>
        <w:t>扎实做好财务预决算信息、“三公”经费、专项资金、政府采购及相关报表公开。同时，通过江苏省预决算公开统一平台的宿迁版块定期公开相关财资信息，方便公众查阅和监督。3月24日，在部门网站公开《市外办政府采购管理办法》的通知。4月5日，主动公开2022年度部门预算。9月19日，主动公开2022年度部门决算公开，并通过江苏省预决算公开统一平台的宿迁版块公开相关财资信息，方便公众查阅和监督。</w:t>
      </w:r>
    </w:p>
    <w:p>
      <w:pPr>
        <w:keepNext w:val="0"/>
        <w:keepLines w:val="0"/>
        <w:pageBreakBefore w:val="0"/>
        <w:kinsoku/>
        <w:wordWrap/>
        <w:overflowPunct/>
        <w:topLinePunct w:val="0"/>
        <w:autoSpaceDE/>
        <w:autoSpaceDN/>
        <w:bidi w:val="0"/>
        <w:adjustRightInd/>
        <w:snapToGrid/>
        <w:spacing w:line="580" w:lineRule="exact"/>
        <w:textAlignment w:val="auto"/>
        <w:rPr>
          <w:rFonts w:hint="eastAsia" w:ascii="Times New Roman" w:hAnsi="宋体" w:eastAsia="方正仿宋_GBK" w:cs="Times New Roman"/>
          <w:kern w:val="0"/>
          <w:sz w:val="32"/>
          <w:szCs w:val="32"/>
          <w:shd w:val="clear" w:color="auto" w:fill="FFFFFF"/>
          <w:lang w:eastAsia="zh-CN"/>
        </w:rPr>
      </w:pPr>
    </w:p>
    <w:p>
      <w:pPr>
        <w:keepNext w:val="0"/>
        <w:keepLines w:val="0"/>
        <w:pageBreakBefore w:val="0"/>
        <w:kinsoku/>
        <w:wordWrap/>
        <w:overflowPunct/>
        <w:topLinePunct w:val="0"/>
        <w:autoSpaceDE/>
        <w:autoSpaceDN/>
        <w:bidi w:val="0"/>
        <w:adjustRightInd/>
        <w:snapToGrid/>
        <w:spacing w:line="580" w:lineRule="exact"/>
        <w:textAlignment w:val="auto"/>
        <w:rPr>
          <w:rFonts w:hint="eastAsia" w:ascii="Times New Roman" w:hAnsi="宋体" w:eastAsia="方正仿宋_GBK" w:cs="Times New Roman"/>
          <w:kern w:val="0"/>
          <w:sz w:val="32"/>
          <w:szCs w:val="32"/>
          <w:shd w:val="clear" w:color="auto" w:fill="FFFFFF"/>
          <w:lang w:eastAsia="zh-CN"/>
        </w:rPr>
      </w:pPr>
    </w:p>
    <w:p>
      <w:pPr>
        <w:keepNext w:val="0"/>
        <w:keepLines w:val="0"/>
        <w:pageBreakBefore w:val="0"/>
        <w:kinsoku/>
        <w:wordWrap/>
        <w:overflowPunct/>
        <w:topLinePunct w:val="0"/>
        <w:autoSpaceDE/>
        <w:autoSpaceDN/>
        <w:bidi w:val="0"/>
        <w:adjustRightInd/>
        <w:snapToGrid/>
        <w:spacing w:line="580" w:lineRule="exact"/>
        <w:textAlignment w:val="auto"/>
        <w:rPr>
          <w:rFonts w:hint="eastAsia" w:ascii="Times New Roman" w:hAnsi="宋体" w:eastAsia="方正仿宋_GBK" w:cs="Times New Roman"/>
          <w:kern w:val="0"/>
          <w:sz w:val="32"/>
          <w:szCs w:val="32"/>
          <w:shd w:val="clear" w:color="auto" w:fill="FFFFFF"/>
          <w:lang w:eastAsia="zh-CN"/>
        </w:rPr>
      </w:pPr>
    </w:p>
    <w:p>
      <w:pPr>
        <w:keepNext w:val="0"/>
        <w:keepLines w:val="0"/>
        <w:pageBreakBefore w:val="0"/>
        <w:kinsoku/>
        <w:wordWrap/>
        <w:overflowPunct/>
        <w:topLinePunct w:val="0"/>
        <w:autoSpaceDE/>
        <w:autoSpaceDN/>
        <w:bidi w:val="0"/>
        <w:adjustRightInd/>
        <w:snapToGrid/>
        <w:spacing w:line="580" w:lineRule="exact"/>
        <w:textAlignment w:val="auto"/>
        <w:rPr>
          <w:rFonts w:hint="eastAsia" w:ascii="Times New Roman" w:hAnsi="宋体" w:eastAsia="方正仿宋_GBK" w:cs="Times New Roman"/>
          <w:kern w:val="0"/>
          <w:sz w:val="32"/>
          <w:szCs w:val="32"/>
          <w:shd w:val="clear" w:color="auto" w:fill="FFFFFF"/>
          <w:lang w:eastAsia="zh-CN"/>
        </w:rPr>
      </w:pPr>
    </w:p>
    <w:p>
      <w:pPr>
        <w:keepNext w:val="0"/>
        <w:keepLines w:val="0"/>
        <w:pageBreakBefore w:val="0"/>
        <w:kinsoku/>
        <w:wordWrap/>
        <w:overflowPunct/>
        <w:topLinePunct w:val="0"/>
        <w:autoSpaceDE/>
        <w:autoSpaceDN/>
        <w:bidi w:val="0"/>
        <w:adjustRightInd/>
        <w:snapToGrid/>
        <w:spacing w:line="580" w:lineRule="exact"/>
        <w:textAlignment w:val="auto"/>
        <w:rPr>
          <w:rFonts w:hint="eastAsia" w:ascii="Times New Roman" w:hAnsi="宋体" w:eastAsia="方正仿宋_GBK" w:cs="Times New Roman"/>
          <w:kern w:val="0"/>
          <w:sz w:val="32"/>
          <w:szCs w:val="32"/>
          <w:shd w:val="clear" w:color="auto" w:fill="FFFFFF"/>
          <w:lang w:eastAsia="zh-CN"/>
        </w:rPr>
      </w:pPr>
      <w:r>
        <w:rPr>
          <w:rFonts w:hint="eastAsia" w:ascii="Times New Roman" w:hAnsi="宋体" w:eastAsia="方正仿宋_GBK" w:cs="Times New Roman"/>
          <w:kern w:val="0"/>
          <w:sz w:val="32"/>
          <w:szCs w:val="32"/>
          <w:shd w:val="clear" w:color="auto" w:fill="FFFFFF"/>
          <w:lang w:eastAsia="zh-CN"/>
        </w:rPr>
        <w:drawing>
          <wp:anchor distT="0" distB="0" distL="114300" distR="114300" simplePos="0" relativeHeight="251663360" behindDoc="0" locked="0" layoutInCell="1" allowOverlap="1">
            <wp:simplePos x="0" y="0"/>
            <wp:positionH relativeFrom="column">
              <wp:posOffset>0</wp:posOffset>
            </wp:positionH>
            <wp:positionV relativeFrom="paragraph">
              <wp:posOffset>82550</wp:posOffset>
            </wp:positionV>
            <wp:extent cx="5610860" cy="3315335"/>
            <wp:effectExtent l="0" t="0" r="8890" b="18415"/>
            <wp:wrapTopAndBottom/>
            <wp:docPr id="12" name="图片 12" descr="2372b1b53a2bb9b8bf7e5ca2b5146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372b1b53a2bb9b8bf7e5ca2b51463d"/>
                    <pic:cNvPicPr>
                      <a:picLocks noChangeAspect="1"/>
                    </pic:cNvPicPr>
                  </pic:nvPicPr>
                  <pic:blipFill>
                    <a:blip r:embed="rId7"/>
                    <a:stretch>
                      <a:fillRect/>
                    </a:stretch>
                  </pic:blipFill>
                  <pic:spPr>
                    <a:xfrm>
                      <a:off x="0" y="0"/>
                      <a:ext cx="5610860" cy="3315335"/>
                    </a:xfrm>
                    <a:prstGeom prst="rect">
                      <a:avLst/>
                    </a:prstGeom>
                  </pic:spPr>
                </pic:pic>
              </a:graphicData>
            </a:graphic>
          </wp:anchor>
        </w:drawing>
      </w:r>
      <w:r>
        <w:rPr>
          <w:rFonts w:hint="eastAsia" w:ascii="Times New Roman" w:hAnsi="宋体" w:eastAsia="方正仿宋_GBK" w:cs="Times New Roman"/>
          <w:kern w:val="0"/>
          <w:sz w:val="32"/>
          <w:szCs w:val="32"/>
          <w:shd w:val="clear" w:color="auto" w:fill="FFFFFF"/>
          <w:lang w:val="en-US" w:eastAsia="zh-CN"/>
        </w:rPr>
        <w:t xml:space="preserve">    </w:t>
      </w:r>
      <w:r>
        <w:rPr>
          <w:rFonts w:hint="eastAsia" w:ascii="方正楷体_GBK" w:eastAsia="方正楷体_GBK" w:cs="Times New Roman"/>
          <w:sz w:val="32"/>
          <w:szCs w:val="32"/>
          <w:shd w:val="clear" w:color="auto" w:fill="FFFFFF"/>
        </w:rPr>
        <w:t>（</w:t>
      </w:r>
      <w:r>
        <w:rPr>
          <w:rFonts w:hint="eastAsia" w:ascii="方正楷体_GBK" w:eastAsia="方正楷体_GBK" w:cs="Times New Roman"/>
          <w:sz w:val="32"/>
          <w:szCs w:val="32"/>
          <w:shd w:val="clear" w:color="auto" w:fill="FFFFFF"/>
          <w:lang w:val="en-US" w:eastAsia="zh-CN"/>
        </w:rPr>
        <w:t>四</w:t>
      </w:r>
      <w:r>
        <w:rPr>
          <w:rFonts w:hint="eastAsia" w:ascii="方正楷体_GBK" w:eastAsia="方正楷体_GBK" w:cs="Times New Roman"/>
          <w:sz w:val="32"/>
          <w:szCs w:val="32"/>
          <w:shd w:val="clear" w:color="auto" w:fill="FFFFFF"/>
        </w:rPr>
        <w:t>）丰富活动形式，增强与公众互动。</w:t>
      </w:r>
      <w:r>
        <w:rPr>
          <w:rFonts w:ascii="Times New Roman" w:hAnsi="Times New Roman" w:eastAsia="方正仿宋_GBK" w:cs="Times New Roman"/>
          <w:sz w:val="32"/>
          <w:szCs w:val="32"/>
        </w:rPr>
        <w:t>多渠道、多方位、多角度举办“政府开放日”活动，是加强服务型政府建设的重要举措。为深入推进政府开放日活动，</w:t>
      </w:r>
      <w:r>
        <w:rPr>
          <w:rFonts w:hint="eastAsia" w:ascii="Times New Roman" w:hAnsi="Times New Roman" w:eastAsia="方正仿宋_GBK" w:cs="Times New Roman"/>
          <w:sz w:val="32"/>
          <w:szCs w:val="32"/>
        </w:rPr>
        <w:t>增强与公众互动，11月4日，市外办开展“体验绿色·读懂发展”—外国人看宿迁活动组织开展政府开放日，邀请近30名在宿外籍人士参观了绿洽会展览展示馆，全方位、近距离体验了宿迁新材料、高端纺织、绿色食品、绿色家居、机电装备、高新科技、现代农业等重点产业发展情况，纷纷表示宿迁绿色产业发展成果显著，前景广阔，对宿迁未来发展充满信心。</w:t>
      </w:r>
    </w:p>
    <w:p>
      <w:pPr>
        <w:keepNext w:val="0"/>
        <w:keepLines w:val="0"/>
        <w:pageBreakBefore w:val="0"/>
        <w:kinsoku/>
        <w:wordWrap/>
        <w:overflowPunct/>
        <w:topLinePunct w:val="0"/>
        <w:autoSpaceDE/>
        <w:autoSpaceDN/>
        <w:bidi w:val="0"/>
        <w:adjustRightInd/>
        <w:snapToGrid/>
        <w:spacing w:line="580" w:lineRule="exact"/>
        <w:ind w:firstLine="640" w:firstLineChars="200"/>
        <w:textAlignment w:val="auto"/>
        <w:rPr>
          <w:rFonts w:hint="eastAsia" w:ascii="Times New Roman" w:hAnsi="宋体" w:eastAsia="方正仿宋_GBK" w:cs="Times New Roman"/>
          <w:kern w:val="0"/>
          <w:sz w:val="32"/>
          <w:szCs w:val="32"/>
          <w:shd w:val="clear" w:color="auto" w:fill="FFFFFF"/>
          <w:lang w:eastAsia="zh-CN"/>
        </w:rPr>
      </w:pPr>
      <w:r>
        <w:rPr>
          <w:rFonts w:hint="eastAsia" w:ascii="Times New Roman" w:hAnsi="宋体" w:eastAsia="方正仿宋_GBK" w:cs="Times New Roman"/>
          <w:kern w:val="0"/>
          <w:sz w:val="32"/>
          <w:szCs w:val="32"/>
          <w:shd w:val="clear" w:color="auto" w:fill="FFFFFF"/>
          <w:lang w:eastAsia="zh-CN"/>
        </w:rPr>
        <w:drawing>
          <wp:anchor distT="0" distB="0" distL="114300" distR="114300" simplePos="0" relativeHeight="251660288" behindDoc="0" locked="0" layoutInCell="1" allowOverlap="1">
            <wp:simplePos x="0" y="0"/>
            <wp:positionH relativeFrom="column">
              <wp:posOffset>6985</wp:posOffset>
            </wp:positionH>
            <wp:positionV relativeFrom="paragraph">
              <wp:posOffset>50165</wp:posOffset>
            </wp:positionV>
            <wp:extent cx="5614035" cy="3025140"/>
            <wp:effectExtent l="0" t="0" r="5715" b="3810"/>
            <wp:wrapTopAndBottom/>
            <wp:docPr id="8" name="图片 8" descr="167333715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73337152572"/>
                    <pic:cNvPicPr>
                      <a:picLocks noChangeAspect="1"/>
                    </pic:cNvPicPr>
                  </pic:nvPicPr>
                  <pic:blipFill>
                    <a:blip r:embed="rId8"/>
                    <a:stretch>
                      <a:fillRect/>
                    </a:stretch>
                  </pic:blipFill>
                  <pic:spPr>
                    <a:xfrm>
                      <a:off x="0" y="0"/>
                      <a:ext cx="5614035" cy="3025140"/>
                    </a:xfrm>
                    <a:prstGeom prst="rect">
                      <a:avLst/>
                    </a:prstGeom>
                  </pic:spPr>
                </pic:pic>
              </a:graphicData>
            </a:graphic>
          </wp:anchor>
        </w:drawing>
      </w:r>
      <w:r>
        <w:rPr>
          <w:rFonts w:hint="eastAsia" w:ascii="方正楷体_GBK" w:eastAsia="方正楷体_GBK" w:cs="Times New Roman"/>
          <w:sz w:val="32"/>
          <w:szCs w:val="32"/>
          <w:shd w:val="clear" w:color="auto" w:fill="FFFFFF"/>
        </w:rPr>
        <w:t>（</w:t>
      </w:r>
      <w:r>
        <w:rPr>
          <w:rFonts w:hint="eastAsia" w:ascii="方正楷体_GBK" w:eastAsia="方正楷体_GBK" w:cs="Times New Roman"/>
          <w:sz w:val="32"/>
          <w:szCs w:val="32"/>
          <w:shd w:val="clear" w:color="auto" w:fill="FFFFFF"/>
          <w:lang w:val="en-US" w:eastAsia="zh-CN"/>
        </w:rPr>
        <w:t>五</w:t>
      </w:r>
      <w:r>
        <w:rPr>
          <w:rFonts w:hint="eastAsia" w:ascii="方正楷体_GBK" w:eastAsia="方正楷体_GBK" w:cs="Times New Roman"/>
          <w:sz w:val="32"/>
          <w:szCs w:val="32"/>
          <w:shd w:val="clear" w:color="auto" w:fill="FFFFFF"/>
        </w:rPr>
        <w:t>）加强政民互动，及时回应社会公众关切。</w:t>
      </w:r>
      <w:r>
        <w:rPr>
          <w:rFonts w:ascii="Times New Roman" w:eastAsia="方正仿宋_GBK"/>
          <w:sz w:val="32"/>
          <w:szCs w:val="32"/>
          <w:shd w:val="clear" w:color="auto" w:fill="FFFFFF"/>
        </w:rPr>
        <w:t>完善社会监督和舆论监督机制，在网站设置</w:t>
      </w:r>
      <w:r>
        <w:rPr>
          <w:rFonts w:hint="eastAsia" w:ascii="Times New Roman" w:eastAsia="方正仿宋_GBK"/>
          <w:sz w:val="32"/>
          <w:szCs w:val="32"/>
          <w:shd w:val="clear" w:color="auto" w:fill="FFFFFF"/>
        </w:rPr>
        <w:t>了部门</w:t>
      </w:r>
      <w:r>
        <w:rPr>
          <w:rFonts w:ascii="Times New Roman" w:eastAsia="方正仿宋_GBK"/>
          <w:sz w:val="32"/>
          <w:szCs w:val="32"/>
          <w:shd w:val="clear" w:color="auto" w:fill="FFFFFF"/>
        </w:rPr>
        <w:t>信箱，在微信公众号开通</w:t>
      </w:r>
      <w:r>
        <w:rPr>
          <w:rFonts w:hint="eastAsia" w:ascii="Times New Roman" w:eastAsia="方正仿宋_GBK"/>
          <w:sz w:val="32"/>
          <w:szCs w:val="32"/>
          <w:shd w:val="clear" w:color="auto" w:fill="FFFFFF"/>
        </w:rPr>
        <w:t>了</w:t>
      </w:r>
      <w:r>
        <w:rPr>
          <w:rFonts w:ascii="Times New Roman" w:eastAsia="方正仿宋_GBK"/>
          <w:sz w:val="32"/>
          <w:szCs w:val="32"/>
          <w:shd w:val="clear" w:color="auto" w:fill="FFFFFF"/>
        </w:rPr>
        <w:t>政务咨询渠道</w:t>
      </w:r>
      <w:r>
        <w:rPr>
          <w:rFonts w:hint="eastAsia" w:ascii="Times New Roman" w:eastAsia="方正仿宋_GBK"/>
          <w:sz w:val="32"/>
          <w:szCs w:val="32"/>
          <w:shd w:val="clear" w:color="auto" w:fill="FFFFFF"/>
        </w:rPr>
        <w:t>，安排专人负责市域一张网分拨平台、网站部门信箱、微信政务咨询等平台，切实做好本单位的政务舆情监测工作。今年以来，网站部门信箱共收到</w:t>
      </w:r>
      <w:r>
        <w:rPr>
          <w:rFonts w:hint="eastAsia" w:ascii="Times New Roman" w:eastAsia="方正仿宋_GBK"/>
          <w:sz w:val="32"/>
          <w:szCs w:val="32"/>
          <w:shd w:val="clear" w:color="auto" w:fill="FFFFFF"/>
          <w:lang w:val="en-US" w:eastAsia="zh-CN"/>
        </w:rPr>
        <w:t>6</w:t>
      </w:r>
      <w:r>
        <w:rPr>
          <w:rFonts w:ascii="Times New Roman" w:eastAsia="方正仿宋_GBK"/>
          <w:sz w:val="32"/>
          <w:szCs w:val="32"/>
          <w:shd w:val="clear" w:color="auto" w:fill="FFFFFF"/>
        </w:rPr>
        <w:t>件咨询信件，都及时予以答复，按时办结率100%。</w:t>
      </w:r>
    </w:p>
    <w:p>
      <w:pPr>
        <w:keepNext w:val="0"/>
        <w:keepLines w:val="0"/>
        <w:pageBreakBefore w:val="0"/>
        <w:kinsoku/>
        <w:wordWrap/>
        <w:overflowPunct/>
        <w:topLinePunct w:val="0"/>
        <w:autoSpaceDE/>
        <w:autoSpaceDN/>
        <w:bidi w:val="0"/>
        <w:adjustRightInd/>
        <w:snapToGrid/>
        <w:spacing w:line="580" w:lineRule="exact"/>
        <w:textAlignment w:val="auto"/>
        <w:rPr>
          <w:rFonts w:hint="eastAsia" w:ascii="Times New Roman" w:hAnsi="宋体" w:eastAsia="方正仿宋_GBK" w:cs="Times New Roman"/>
          <w:kern w:val="0"/>
          <w:sz w:val="32"/>
          <w:szCs w:val="32"/>
          <w:shd w:val="clear" w:color="auto" w:fill="FFFFFF"/>
          <w:lang w:eastAsia="zh-CN"/>
        </w:rPr>
      </w:pPr>
      <w:r>
        <w:rPr>
          <w:rFonts w:hint="eastAsia" w:ascii="Times New Roman" w:hAnsi="宋体" w:eastAsia="方正仿宋_GBK" w:cs="Times New Roman"/>
          <w:kern w:val="0"/>
          <w:sz w:val="32"/>
          <w:szCs w:val="32"/>
          <w:shd w:val="clear" w:color="auto" w:fill="FFFFFF"/>
          <w:lang w:eastAsia="zh-CN"/>
        </w:rPr>
        <w:drawing>
          <wp:anchor distT="0" distB="0" distL="114300" distR="114300" simplePos="0" relativeHeight="251661312" behindDoc="0" locked="0" layoutInCell="1" allowOverlap="1">
            <wp:simplePos x="0" y="0"/>
            <wp:positionH relativeFrom="column">
              <wp:posOffset>-34290</wp:posOffset>
            </wp:positionH>
            <wp:positionV relativeFrom="paragraph">
              <wp:posOffset>28575</wp:posOffset>
            </wp:positionV>
            <wp:extent cx="5610860" cy="2470150"/>
            <wp:effectExtent l="0" t="0" r="8890" b="6350"/>
            <wp:wrapTopAndBottom/>
            <wp:docPr id="10" name="图片 10" descr="293bfdbfffa49f609502e21538ca2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93bfdbfffa49f609502e21538ca27a"/>
                    <pic:cNvPicPr>
                      <a:picLocks noChangeAspect="1"/>
                    </pic:cNvPicPr>
                  </pic:nvPicPr>
                  <pic:blipFill>
                    <a:blip r:embed="rId9"/>
                    <a:stretch>
                      <a:fillRect/>
                    </a:stretch>
                  </pic:blipFill>
                  <pic:spPr>
                    <a:xfrm>
                      <a:off x="0" y="0"/>
                      <a:ext cx="5610860" cy="247015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Times New Roman" w:hAnsi="宋体" w:eastAsia="方正仿宋_GBK" w:cs="Times New Roman"/>
          <w:kern w:val="0"/>
          <w:sz w:val="32"/>
          <w:szCs w:val="32"/>
          <w:shd w:val="clear" w:color="auto" w:fill="FFFFFF"/>
        </w:rPr>
      </w:pPr>
      <w:r>
        <w:rPr>
          <w:rFonts w:hint="eastAsia" w:ascii="方正楷体_GBK" w:eastAsia="方正楷体_GBK" w:cs="Times New Roman"/>
          <w:sz w:val="32"/>
          <w:szCs w:val="32"/>
          <w:shd w:val="clear" w:color="auto" w:fill="FFFFFF"/>
          <w:lang w:val="en-US" w:eastAsia="zh-CN"/>
        </w:rPr>
        <w:t>（六）加强队伍建设，组织</w:t>
      </w:r>
      <w:r>
        <w:rPr>
          <w:rFonts w:hint="eastAsia" w:ascii="方正楷体_GBK" w:eastAsia="方正楷体_GBK" w:cs="Times New Roman"/>
          <w:sz w:val="32"/>
          <w:szCs w:val="32"/>
          <w:shd w:val="clear" w:color="auto" w:fill="FFFFFF"/>
        </w:rPr>
        <w:t>政务公开专题培训。</w:t>
      </w:r>
      <w:r>
        <w:rPr>
          <w:rFonts w:hint="eastAsia" w:ascii="Times New Roman" w:hAnsi="宋体" w:eastAsia="方正仿宋_GBK" w:cs="Times New Roman"/>
          <w:kern w:val="0"/>
          <w:sz w:val="32"/>
          <w:szCs w:val="32"/>
          <w:shd w:val="clear" w:color="auto" w:fill="FFFFFF"/>
        </w:rPr>
        <w:t>11月29日，组织召开政务公开和政府信息公开工作专题培训会，加强全办人员对政务公开和政府信息公开工作相关政策制度的学习，进一步认识到深化政务公开、加强政务服务的重要性，在实际工作中贯彻落实好具体要求，进一步提升政务公开能力。</w:t>
      </w:r>
    </w:p>
    <w:p>
      <w:pPr>
        <w:pStyle w:val="10"/>
        <w:keepNext w:val="0"/>
        <w:keepLines w:val="0"/>
        <w:pageBreakBefore w:val="0"/>
        <w:kinsoku/>
        <w:wordWrap/>
        <w:overflowPunct/>
        <w:topLinePunct w:val="0"/>
        <w:autoSpaceDE/>
        <w:autoSpaceDN/>
        <w:bidi w:val="0"/>
        <w:adjustRightInd/>
        <w:snapToGrid/>
        <w:spacing w:line="580" w:lineRule="exact"/>
        <w:ind w:firstLine="672" w:firstLineChars="200"/>
        <w:textAlignment w:val="auto"/>
        <w:rPr>
          <w:rFonts w:ascii="Times New Roman" w:hAnsi="宋体" w:eastAsia="方正仿宋_GBK" w:cs="Times New Roman"/>
          <w:kern w:val="0"/>
          <w:sz w:val="32"/>
          <w:szCs w:val="32"/>
          <w:shd w:val="clear" w:color="auto" w:fill="FFFFFF"/>
        </w:rPr>
      </w:pPr>
      <w:r>
        <w:rPr>
          <w:rFonts w:hint="eastAsia" w:ascii="方正黑体_GBK" w:hAnsi="Times New Roman" w:eastAsia="方正黑体_GBK" w:cs="Times New Roman"/>
          <w:color w:val="000000" w:themeColor="text1"/>
          <w:spacing w:val="8"/>
          <w:sz w:val="32"/>
          <w:szCs w:val="32"/>
          <w14:textFill>
            <w14:solidFill>
              <w14:schemeClr w14:val="tx1"/>
            </w14:solidFill>
          </w14:textFill>
        </w:rPr>
        <w:t>二、主动公开政府信息情况</w:t>
      </w:r>
    </w:p>
    <w:p>
      <w:pPr>
        <w:pStyle w:val="4"/>
        <w:keepNext w:val="0"/>
        <w:keepLines w:val="0"/>
        <w:pageBreakBefore w:val="0"/>
        <w:kinsoku/>
        <w:wordWrap/>
        <w:overflowPunct/>
        <w:topLinePunct w:val="0"/>
        <w:autoSpaceDE/>
        <w:autoSpaceDN/>
        <w:bidi w:val="0"/>
        <w:adjustRightInd/>
        <w:snapToGrid/>
        <w:spacing w:before="0" w:beforeAutospacing="0" w:after="0" w:afterAutospacing="0" w:line="580" w:lineRule="exact"/>
        <w:ind w:firstLine="672" w:firstLineChars="200"/>
        <w:jc w:val="both"/>
        <w:textAlignment w:val="auto"/>
        <w:rPr>
          <w:rFonts w:ascii="Times New Roman" w:hAnsi="Times New Roman" w:eastAsia="方正仿宋_GBK" w:cs="Times New Roman"/>
          <w:color w:val="000000" w:themeColor="text1"/>
          <w:spacing w:val="8"/>
          <w:sz w:val="32"/>
          <w:szCs w:val="32"/>
          <w14:textFill>
            <w14:solidFill>
              <w14:schemeClr w14:val="tx1"/>
            </w14:solidFill>
          </w14:textFill>
        </w:rPr>
      </w:pPr>
      <w:r>
        <w:rPr>
          <w:rFonts w:hint="eastAsia" w:ascii="Times New Roman" w:hAnsi="Times New Roman" w:eastAsia="方正仿宋_GBK" w:cs="Times New Roman"/>
          <w:color w:val="000000" w:themeColor="text1"/>
          <w:spacing w:val="8"/>
          <w:sz w:val="32"/>
          <w:szCs w:val="32"/>
          <w14:textFill>
            <w14:solidFill>
              <w14:schemeClr w14:val="tx1"/>
            </w14:solidFill>
          </w14:textFill>
        </w:rPr>
        <w:t>我办无行政许可、行政处罚、行政强制和其他对外管理服务事项，</w:t>
      </w:r>
      <w:r>
        <w:rPr>
          <w:rFonts w:ascii="Times New Roman" w:hAnsi="Times New Roman" w:eastAsia="方正仿宋_GBK" w:cs="Times New Roman"/>
          <w:color w:val="000000" w:themeColor="text1"/>
          <w:spacing w:val="8"/>
          <w:sz w:val="32"/>
          <w:szCs w:val="32"/>
          <w14:textFill>
            <w14:solidFill>
              <w14:schemeClr w14:val="tx1"/>
            </w14:solidFill>
          </w14:textFill>
        </w:rPr>
        <w:t>202</w:t>
      </w:r>
      <w:r>
        <w:rPr>
          <w:rFonts w:hint="eastAsia" w:ascii="Times New Roman" w:hAnsi="Times New Roman" w:eastAsia="方正仿宋_GBK" w:cs="Times New Roman"/>
          <w:color w:val="000000" w:themeColor="text1"/>
          <w:spacing w:val="8"/>
          <w:sz w:val="32"/>
          <w:szCs w:val="32"/>
          <w:lang w:val="en-US" w:eastAsia="zh-CN"/>
          <w14:textFill>
            <w14:solidFill>
              <w14:schemeClr w14:val="tx1"/>
            </w14:solidFill>
          </w14:textFill>
        </w:rPr>
        <w:t>2</w:t>
      </w:r>
      <w:r>
        <w:rPr>
          <w:rFonts w:hint="eastAsia" w:ascii="Times New Roman" w:hAnsi="Times New Roman" w:eastAsia="方正仿宋_GBK" w:cs="Times New Roman"/>
          <w:color w:val="000000" w:themeColor="text1"/>
          <w:spacing w:val="8"/>
          <w:sz w:val="32"/>
          <w:szCs w:val="32"/>
          <w14:textFill>
            <w14:solidFill>
              <w14:schemeClr w14:val="tx1"/>
            </w14:solidFill>
          </w14:textFill>
        </w:rPr>
        <w:t>年无规范性文件出台，无政府集中采购等。</w:t>
      </w:r>
    </w:p>
    <w:tbl>
      <w:tblPr>
        <w:tblStyle w:val="5"/>
        <w:tblW w:w="8784" w:type="dxa"/>
        <w:tblInd w:w="0" w:type="dxa"/>
        <w:tblLayout w:type="autofit"/>
        <w:tblCellMar>
          <w:top w:w="0" w:type="dxa"/>
          <w:left w:w="108" w:type="dxa"/>
          <w:bottom w:w="0" w:type="dxa"/>
          <w:right w:w="108" w:type="dxa"/>
        </w:tblCellMar>
      </w:tblPr>
      <w:tblGrid>
        <w:gridCol w:w="2122"/>
        <w:gridCol w:w="1678"/>
        <w:gridCol w:w="1900"/>
        <w:gridCol w:w="3084"/>
      </w:tblGrid>
      <w:tr>
        <w:tblPrEx>
          <w:tblCellMar>
            <w:top w:w="0" w:type="dxa"/>
            <w:left w:w="108" w:type="dxa"/>
            <w:bottom w:w="0" w:type="dxa"/>
            <w:right w:w="108" w:type="dxa"/>
          </w:tblCellMar>
        </w:tblPrEx>
        <w:trPr>
          <w:trHeight w:val="390" w:hRule="atLeast"/>
        </w:trPr>
        <w:tc>
          <w:tcPr>
            <w:tcW w:w="878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第二十条第（一）项</w:t>
            </w:r>
          </w:p>
        </w:tc>
      </w:tr>
      <w:tr>
        <w:tblPrEx>
          <w:tblCellMar>
            <w:top w:w="0" w:type="dxa"/>
            <w:left w:w="108" w:type="dxa"/>
            <w:bottom w:w="0" w:type="dxa"/>
            <w:right w:w="108" w:type="dxa"/>
          </w:tblCellMar>
        </w:tblPrEx>
        <w:trPr>
          <w:trHeight w:val="39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信息内容</w:t>
            </w:r>
          </w:p>
        </w:tc>
        <w:tc>
          <w:tcPr>
            <w:tcW w:w="1678" w:type="dxa"/>
            <w:tcBorders>
              <w:top w:val="nil"/>
              <w:left w:val="nil"/>
              <w:bottom w:val="single" w:color="auto" w:sz="4" w:space="0"/>
              <w:right w:val="single" w:color="auto" w:sz="4" w:space="0"/>
            </w:tcBorders>
            <w:shd w:val="clear" w:color="auto" w:fill="auto"/>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本年制发件数</w:t>
            </w:r>
          </w:p>
        </w:tc>
        <w:tc>
          <w:tcPr>
            <w:tcW w:w="1900" w:type="dxa"/>
            <w:tcBorders>
              <w:top w:val="nil"/>
              <w:left w:val="nil"/>
              <w:bottom w:val="single" w:color="auto" w:sz="4" w:space="0"/>
              <w:right w:val="single" w:color="auto" w:sz="4" w:space="0"/>
            </w:tcBorders>
            <w:shd w:val="clear" w:color="auto" w:fill="auto"/>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本年废止件数</w:t>
            </w:r>
          </w:p>
        </w:tc>
        <w:tc>
          <w:tcPr>
            <w:tcW w:w="3084" w:type="dxa"/>
            <w:tcBorders>
              <w:top w:val="nil"/>
              <w:left w:val="nil"/>
              <w:bottom w:val="single" w:color="auto" w:sz="4" w:space="0"/>
              <w:right w:val="single" w:color="auto" w:sz="4" w:space="0"/>
            </w:tcBorders>
            <w:shd w:val="clear" w:color="auto" w:fill="auto"/>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现行有效件数</w:t>
            </w:r>
          </w:p>
        </w:tc>
      </w:tr>
      <w:tr>
        <w:tblPrEx>
          <w:tblCellMar>
            <w:top w:w="0" w:type="dxa"/>
            <w:left w:w="108" w:type="dxa"/>
            <w:bottom w:w="0" w:type="dxa"/>
            <w:right w:w="108" w:type="dxa"/>
          </w:tblCellMar>
        </w:tblPrEx>
        <w:trPr>
          <w:trHeight w:val="390" w:hRule="atLeast"/>
        </w:trPr>
        <w:tc>
          <w:tcPr>
            <w:tcW w:w="2122" w:type="dxa"/>
            <w:tcBorders>
              <w:top w:val="nil"/>
              <w:left w:val="single" w:color="auto" w:sz="4" w:space="0"/>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规章</w:t>
            </w:r>
          </w:p>
        </w:tc>
        <w:tc>
          <w:tcPr>
            <w:tcW w:w="1678" w:type="dxa"/>
            <w:tcBorders>
              <w:top w:val="nil"/>
              <w:left w:val="nil"/>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0</w:t>
            </w:r>
          </w:p>
        </w:tc>
        <w:tc>
          <w:tcPr>
            <w:tcW w:w="1900" w:type="dxa"/>
            <w:tcBorders>
              <w:top w:val="nil"/>
              <w:left w:val="nil"/>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0</w:t>
            </w:r>
          </w:p>
        </w:tc>
        <w:tc>
          <w:tcPr>
            <w:tcW w:w="3084" w:type="dxa"/>
            <w:tcBorders>
              <w:top w:val="nil"/>
              <w:left w:val="nil"/>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0</w:t>
            </w:r>
          </w:p>
        </w:tc>
      </w:tr>
      <w:tr>
        <w:tblPrEx>
          <w:tblCellMar>
            <w:top w:w="0" w:type="dxa"/>
            <w:left w:w="108" w:type="dxa"/>
            <w:bottom w:w="0" w:type="dxa"/>
            <w:right w:w="108" w:type="dxa"/>
          </w:tblCellMar>
        </w:tblPrEx>
        <w:trPr>
          <w:trHeight w:val="390" w:hRule="atLeast"/>
        </w:trPr>
        <w:tc>
          <w:tcPr>
            <w:tcW w:w="2122" w:type="dxa"/>
            <w:tcBorders>
              <w:top w:val="nil"/>
              <w:left w:val="single" w:color="auto" w:sz="4" w:space="0"/>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行政规范性文件</w:t>
            </w:r>
          </w:p>
        </w:tc>
        <w:tc>
          <w:tcPr>
            <w:tcW w:w="1678" w:type="dxa"/>
            <w:tcBorders>
              <w:top w:val="nil"/>
              <w:left w:val="nil"/>
              <w:bottom w:val="single" w:color="auto" w:sz="4" w:space="0"/>
              <w:right w:val="single" w:color="auto" w:sz="4" w:space="0"/>
            </w:tcBorders>
            <w:shd w:val="clear" w:color="000000" w:fill="FFFFFF"/>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0</w:t>
            </w:r>
          </w:p>
        </w:tc>
        <w:tc>
          <w:tcPr>
            <w:tcW w:w="1900" w:type="dxa"/>
            <w:tcBorders>
              <w:top w:val="nil"/>
              <w:left w:val="nil"/>
              <w:bottom w:val="single" w:color="auto" w:sz="4" w:space="0"/>
              <w:right w:val="single" w:color="auto" w:sz="4" w:space="0"/>
            </w:tcBorders>
            <w:shd w:val="clear" w:color="000000" w:fill="FFFFFF"/>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0</w:t>
            </w:r>
          </w:p>
        </w:tc>
        <w:tc>
          <w:tcPr>
            <w:tcW w:w="3084" w:type="dxa"/>
            <w:tcBorders>
              <w:top w:val="nil"/>
              <w:left w:val="nil"/>
              <w:bottom w:val="single" w:color="auto" w:sz="4" w:space="0"/>
              <w:right w:val="single" w:color="auto" w:sz="4" w:space="0"/>
            </w:tcBorders>
            <w:shd w:val="clear" w:color="000000" w:fill="FFFFFF"/>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0</w:t>
            </w:r>
          </w:p>
        </w:tc>
      </w:tr>
      <w:tr>
        <w:tblPrEx>
          <w:tblCellMar>
            <w:top w:w="0" w:type="dxa"/>
            <w:left w:w="108" w:type="dxa"/>
            <w:bottom w:w="0" w:type="dxa"/>
            <w:right w:w="108" w:type="dxa"/>
          </w:tblCellMar>
        </w:tblPrEx>
        <w:trPr>
          <w:trHeight w:val="390" w:hRule="atLeast"/>
        </w:trPr>
        <w:tc>
          <w:tcPr>
            <w:tcW w:w="878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第二十条第（五）项</w:t>
            </w:r>
          </w:p>
        </w:tc>
      </w:tr>
      <w:tr>
        <w:tblPrEx>
          <w:tblCellMar>
            <w:top w:w="0" w:type="dxa"/>
            <w:left w:w="108" w:type="dxa"/>
            <w:bottom w:w="0" w:type="dxa"/>
            <w:right w:w="108" w:type="dxa"/>
          </w:tblCellMar>
        </w:tblPrEx>
        <w:trPr>
          <w:trHeight w:val="390" w:hRule="atLeast"/>
        </w:trPr>
        <w:tc>
          <w:tcPr>
            <w:tcW w:w="2122" w:type="dxa"/>
            <w:tcBorders>
              <w:top w:val="nil"/>
              <w:left w:val="single" w:color="auto" w:sz="4" w:space="0"/>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信息内容</w:t>
            </w:r>
          </w:p>
        </w:tc>
        <w:tc>
          <w:tcPr>
            <w:tcW w:w="6662" w:type="dxa"/>
            <w:gridSpan w:val="3"/>
            <w:tcBorders>
              <w:top w:val="single" w:color="auto" w:sz="4" w:space="0"/>
              <w:left w:val="nil"/>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本年处理决定数量</w:t>
            </w:r>
          </w:p>
        </w:tc>
      </w:tr>
      <w:tr>
        <w:tblPrEx>
          <w:tblCellMar>
            <w:top w:w="0" w:type="dxa"/>
            <w:left w:w="108" w:type="dxa"/>
            <w:bottom w:w="0" w:type="dxa"/>
            <w:right w:w="108" w:type="dxa"/>
          </w:tblCellMar>
        </w:tblPrEx>
        <w:trPr>
          <w:trHeight w:val="390" w:hRule="atLeast"/>
        </w:trPr>
        <w:tc>
          <w:tcPr>
            <w:tcW w:w="2122" w:type="dxa"/>
            <w:tcBorders>
              <w:top w:val="nil"/>
              <w:left w:val="single" w:color="auto" w:sz="4" w:space="0"/>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行政许可</w:t>
            </w:r>
          </w:p>
        </w:tc>
        <w:tc>
          <w:tcPr>
            <w:tcW w:w="6662" w:type="dxa"/>
            <w:gridSpan w:val="3"/>
            <w:tcBorders>
              <w:top w:val="single" w:color="auto" w:sz="4" w:space="0"/>
              <w:left w:val="nil"/>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0</w:t>
            </w:r>
          </w:p>
        </w:tc>
      </w:tr>
      <w:tr>
        <w:tblPrEx>
          <w:tblCellMar>
            <w:top w:w="0" w:type="dxa"/>
            <w:left w:w="108" w:type="dxa"/>
            <w:bottom w:w="0" w:type="dxa"/>
            <w:right w:w="108" w:type="dxa"/>
          </w:tblCellMar>
        </w:tblPrEx>
        <w:trPr>
          <w:trHeight w:val="390" w:hRule="atLeast"/>
        </w:trPr>
        <w:tc>
          <w:tcPr>
            <w:tcW w:w="878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第二十条第（六）项</w:t>
            </w:r>
          </w:p>
        </w:tc>
      </w:tr>
      <w:tr>
        <w:tblPrEx>
          <w:tblCellMar>
            <w:top w:w="0" w:type="dxa"/>
            <w:left w:w="108" w:type="dxa"/>
            <w:bottom w:w="0" w:type="dxa"/>
            <w:right w:w="108" w:type="dxa"/>
          </w:tblCellMar>
        </w:tblPrEx>
        <w:trPr>
          <w:trHeight w:val="390" w:hRule="atLeast"/>
        </w:trPr>
        <w:tc>
          <w:tcPr>
            <w:tcW w:w="2122" w:type="dxa"/>
            <w:tcBorders>
              <w:top w:val="nil"/>
              <w:left w:val="single" w:color="auto" w:sz="4" w:space="0"/>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信息内容</w:t>
            </w:r>
          </w:p>
        </w:tc>
        <w:tc>
          <w:tcPr>
            <w:tcW w:w="6662" w:type="dxa"/>
            <w:gridSpan w:val="3"/>
            <w:tcBorders>
              <w:top w:val="single" w:color="auto" w:sz="4" w:space="0"/>
              <w:left w:val="nil"/>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本年处理决定数量</w:t>
            </w:r>
          </w:p>
        </w:tc>
      </w:tr>
      <w:tr>
        <w:tblPrEx>
          <w:tblCellMar>
            <w:top w:w="0" w:type="dxa"/>
            <w:left w:w="108" w:type="dxa"/>
            <w:bottom w:w="0" w:type="dxa"/>
            <w:right w:w="108" w:type="dxa"/>
          </w:tblCellMar>
        </w:tblPrEx>
        <w:trPr>
          <w:trHeight w:val="390" w:hRule="atLeast"/>
        </w:trPr>
        <w:tc>
          <w:tcPr>
            <w:tcW w:w="2122" w:type="dxa"/>
            <w:tcBorders>
              <w:top w:val="nil"/>
              <w:left w:val="single" w:color="auto" w:sz="4" w:space="0"/>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行政处罚</w:t>
            </w:r>
          </w:p>
        </w:tc>
        <w:tc>
          <w:tcPr>
            <w:tcW w:w="6662" w:type="dxa"/>
            <w:gridSpan w:val="3"/>
            <w:tcBorders>
              <w:top w:val="single" w:color="auto" w:sz="4" w:space="0"/>
              <w:left w:val="nil"/>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0</w:t>
            </w:r>
          </w:p>
        </w:tc>
      </w:tr>
      <w:tr>
        <w:tblPrEx>
          <w:tblCellMar>
            <w:top w:w="0" w:type="dxa"/>
            <w:left w:w="108" w:type="dxa"/>
            <w:bottom w:w="0" w:type="dxa"/>
            <w:right w:w="108" w:type="dxa"/>
          </w:tblCellMar>
        </w:tblPrEx>
        <w:trPr>
          <w:trHeight w:val="390" w:hRule="atLeast"/>
        </w:trPr>
        <w:tc>
          <w:tcPr>
            <w:tcW w:w="2122" w:type="dxa"/>
            <w:tcBorders>
              <w:top w:val="nil"/>
              <w:left w:val="single" w:color="auto" w:sz="4" w:space="0"/>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行政强制</w:t>
            </w:r>
          </w:p>
        </w:tc>
        <w:tc>
          <w:tcPr>
            <w:tcW w:w="6662" w:type="dxa"/>
            <w:gridSpan w:val="3"/>
            <w:tcBorders>
              <w:top w:val="single" w:color="auto" w:sz="4" w:space="0"/>
              <w:left w:val="nil"/>
              <w:bottom w:val="single" w:color="auto" w:sz="4" w:space="0"/>
              <w:right w:val="single" w:color="auto" w:sz="4" w:space="0"/>
            </w:tcBorders>
            <w:shd w:val="clear" w:color="000000" w:fill="FFFFFF"/>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0</w:t>
            </w:r>
          </w:p>
        </w:tc>
      </w:tr>
      <w:tr>
        <w:tblPrEx>
          <w:tblCellMar>
            <w:top w:w="0" w:type="dxa"/>
            <w:left w:w="108" w:type="dxa"/>
            <w:bottom w:w="0" w:type="dxa"/>
            <w:right w:w="108" w:type="dxa"/>
          </w:tblCellMar>
        </w:tblPrEx>
        <w:trPr>
          <w:trHeight w:val="390" w:hRule="atLeast"/>
        </w:trPr>
        <w:tc>
          <w:tcPr>
            <w:tcW w:w="8784"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第二十条第（八）项</w:t>
            </w:r>
          </w:p>
        </w:tc>
      </w:tr>
      <w:tr>
        <w:tblPrEx>
          <w:tblCellMar>
            <w:top w:w="0" w:type="dxa"/>
            <w:left w:w="108" w:type="dxa"/>
            <w:bottom w:w="0" w:type="dxa"/>
            <w:right w:w="108" w:type="dxa"/>
          </w:tblCellMar>
        </w:tblPrEx>
        <w:trPr>
          <w:trHeight w:val="39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信息内容</w:t>
            </w:r>
          </w:p>
        </w:tc>
        <w:tc>
          <w:tcPr>
            <w:tcW w:w="6662" w:type="dxa"/>
            <w:gridSpan w:val="3"/>
            <w:tcBorders>
              <w:top w:val="single" w:color="auto" w:sz="4" w:space="0"/>
              <w:left w:val="nil"/>
              <w:bottom w:val="single" w:color="auto" w:sz="4" w:space="0"/>
              <w:right w:val="single" w:color="auto" w:sz="4" w:space="0"/>
            </w:tcBorders>
            <w:shd w:val="clear" w:color="auto" w:fill="auto"/>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本年收费金额（单位：万元）</w:t>
            </w:r>
          </w:p>
        </w:tc>
      </w:tr>
      <w:tr>
        <w:tblPrEx>
          <w:tblCellMar>
            <w:top w:w="0" w:type="dxa"/>
            <w:left w:w="108" w:type="dxa"/>
            <w:bottom w:w="0" w:type="dxa"/>
            <w:right w:w="108" w:type="dxa"/>
          </w:tblCellMar>
        </w:tblPrEx>
        <w:trPr>
          <w:trHeight w:val="390" w:hRule="atLeast"/>
        </w:trPr>
        <w:tc>
          <w:tcPr>
            <w:tcW w:w="2122" w:type="dxa"/>
            <w:tcBorders>
              <w:top w:val="nil"/>
              <w:left w:val="single" w:color="auto" w:sz="4" w:space="0"/>
              <w:bottom w:val="single" w:color="auto" w:sz="4" w:space="0"/>
              <w:right w:val="single" w:color="auto" w:sz="4" w:space="0"/>
            </w:tcBorders>
            <w:shd w:val="clear" w:color="auto" w:fill="auto"/>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行政事业性收费</w:t>
            </w:r>
          </w:p>
        </w:tc>
        <w:tc>
          <w:tcPr>
            <w:tcW w:w="6662" w:type="dxa"/>
            <w:gridSpan w:val="3"/>
            <w:tcBorders>
              <w:top w:val="single" w:color="auto" w:sz="4" w:space="0"/>
              <w:left w:val="nil"/>
              <w:bottom w:val="single" w:color="auto" w:sz="4" w:space="0"/>
              <w:right w:val="single" w:color="auto" w:sz="4" w:space="0"/>
            </w:tcBorders>
            <w:shd w:val="clear" w:color="auto" w:fill="auto"/>
            <w:noWrap/>
            <w:vAlign w:val="center"/>
          </w:tcPr>
          <w:p>
            <w:pPr>
              <w:pStyle w:val="4"/>
              <w:spacing w:before="0" w:beforeAutospacing="0" w:after="0" w:afterAutospacing="0" w:line="240" w:lineRule="exact"/>
              <w:jc w:val="center"/>
              <w:rPr>
                <w:rFonts w:ascii="Times New Roman" w:hAnsi="Times New Roman" w:eastAsia="方正仿宋_GBK" w:cs="Times New Roman"/>
                <w:color w:val="000000" w:themeColor="text1"/>
                <w:spacing w:val="8"/>
                <w:sz w:val="21"/>
                <w:szCs w:val="21"/>
                <w14:textFill>
                  <w14:solidFill>
                    <w14:schemeClr w14:val="tx1"/>
                  </w14:solidFill>
                </w14:textFill>
              </w:rPr>
            </w:pPr>
            <w:r>
              <w:rPr>
                <w:rFonts w:hint="eastAsia" w:ascii="Times New Roman" w:hAnsi="Times New Roman" w:eastAsia="方正仿宋_GBK" w:cs="Times New Roman"/>
                <w:color w:val="000000" w:themeColor="text1"/>
                <w:spacing w:val="8"/>
                <w:sz w:val="21"/>
                <w:szCs w:val="21"/>
                <w14:textFill>
                  <w14:solidFill>
                    <w14:schemeClr w14:val="tx1"/>
                  </w14:solidFill>
                </w14:textFill>
              </w:rPr>
              <w:t>0</w:t>
            </w:r>
          </w:p>
        </w:tc>
      </w:tr>
    </w:tbl>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72" w:firstLineChars="200"/>
        <w:jc w:val="both"/>
        <w:textAlignment w:val="auto"/>
        <w:rPr>
          <w:rFonts w:ascii="方正黑体_GBK" w:hAnsi="Times New Roman" w:eastAsia="方正黑体_GBK" w:cs="Times New Roman"/>
          <w:color w:val="000000" w:themeColor="text1"/>
          <w:spacing w:val="8"/>
          <w:sz w:val="32"/>
          <w:szCs w:val="32"/>
          <w14:textFill>
            <w14:solidFill>
              <w14:schemeClr w14:val="tx1"/>
            </w14:solidFill>
          </w14:textFill>
        </w:rPr>
      </w:pPr>
      <w:r>
        <w:rPr>
          <w:rFonts w:hint="eastAsia" w:ascii="方正黑体_GBK" w:hAnsi="Times New Roman" w:eastAsia="方正黑体_GBK" w:cs="Times New Roman"/>
          <w:color w:val="000000" w:themeColor="text1"/>
          <w:spacing w:val="8"/>
          <w:sz w:val="32"/>
          <w:szCs w:val="32"/>
          <w14:textFill>
            <w14:solidFill>
              <w14:schemeClr w14:val="tx1"/>
            </w14:solidFill>
          </w14:textFill>
        </w:rPr>
        <w:t>三、收到和处理政府信息公开申请情况</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75"/>
        <w:jc w:val="both"/>
        <w:textAlignment w:val="auto"/>
        <w:rPr>
          <w:rFonts w:ascii="Times New Roman" w:hAnsi="Times New Roman" w:eastAsia="方正仿宋_GBK" w:cs="Times New Roman"/>
          <w:color w:val="000000" w:themeColor="text1"/>
          <w:spacing w:val="8"/>
          <w:sz w:val="32"/>
          <w:szCs w:val="32"/>
          <w14:textFill>
            <w14:solidFill>
              <w14:schemeClr w14:val="tx1"/>
            </w14:solidFill>
          </w14:textFill>
        </w:rPr>
      </w:pPr>
      <w:r>
        <w:rPr>
          <w:rFonts w:hint="eastAsia" w:ascii="Times New Roman" w:hAnsi="Times New Roman" w:eastAsia="方正仿宋_GBK" w:cs="Times New Roman"/>
          <w:color w:val="000000" w:themeColor="text1"/>
          <w:spacing w:val="8"/>
          <w:sz w:val="32"/>
          <w:szCs w:val="32"/>
          <w14:textFill>
            <w14:solidFill>
              <w14:schemeClr w14:val="tx1"/>
            </w14:solidFill>
          </w14:textFill>
        </w:rPr>
        <w:t>2</w:t>
      </w:r>
      <w:r>
        <w:rPr>
          <w:rFonts w:ascii="Times New Roman" w:hAnsi="Times New Roman" w:eastAsia="方正仿宋_GBK" w:cs="Times New Roman"/>
          <w:color w:val="000000" w:themeColor="text1"/>
          <w:spacing w:val="8"/>
          <w:sz w:val="32"/>
          <w:szCs w:val="32"/>
          <w14:textFill>
            <w14:solidFill>
              <w14:schemeClr w14:val="tx1"/>
            </w14:solidFill>
          </w14:textFill>
        </w:rPr>
        <w:t>02</w:t>
      </w:r>
      <w:r>
        <w:rPr>
          <w:rFonts w:hint="eastAsia" w:ascii="Times New Roman" w:hAnsi="Times New Roman" w:eastAsia="方正仿宋_GBK" w:cs="Times New Roman"/>
          <w:color w:val="000000" w:themeColor="text1"/>
          <w:spacing w:val="8"/>
          <w:sz w:val="32"/>
          <w:szCs w:val="32"/>
          <w:lang w:val="en-US" w:eastAsia="zh-CN"/>
          <w14:textFill>
            <w14:solidFill>
              <w14:schemeClr w14:val="tx1"/>
            </w14:solidFill>
          </w14:textFill>
        </w:rPr>
        <w:t>2</w:t>
      </w:r>
      <w:r>
        <w:rPr>
          <w:rFonts w:hint="eastAsia" w:ascii="Times New Roman" w:hAnsi="Times New Roman" w:eastAsia="方正仿宋_GBK" w:cs="Times New Roman"/>
          <w:color w:val="000000" w:themeColor="text1"/>
          <w:spacing w:val="8"/>
          <w:sz w:val="32"/>
          <w:szCs w:val="32"/>
          <w14:textFill>
            <w14:solidFill>
              <w14:schemeClr w14:val="tx1"/>
            </w14:solidFill>
          </w14:textFill>
        </w:rPr>
        <w:t>年，我办未收到政府信息公开申请。</w:t>
      </w:r>
    </w:p>
    <w:tbl>
      <w:tblPr>
        <w:tblStyle w:val="5"/>
        <w:tblW w:w="10294" w:type="dxa"/>
        <w:tblInd w:w="-714" w:type="dxa"/>
        <w:tblLayout w:type="autofit"/>
        <w:tblCellMar>
          <w:top w:w="0" w:type="dxa"/>
          <w:left w:w="108" w:type="dxa"/>
          <w:bottom w:w="0" w:type="dxa"/>
          <w:right w:w="108" w:type="dxa"/>
        </w:tblCellMar>
      </w:tblPr>
      <w:tblGrid>
        <w:gridCol w:w="613"/>
        <w:gridCol w:w="1715"/>
        <w:gridCol w:w="2366"/>
        <w:gridCol w:w="800"/>
        <w:gridCol w:w="800"/>
        <w:gridCol w:w="800"/>
        <w:gridCol w:w="800"/>
        <w:gridCol w:w="800"/>
        <w:gridCol w:w="800"/>
        <w:gridCol w:w="800"/>
      </w:tblGrid>
      <w:tr>
        <w:tblPrEx>
          <w:tblCellMar>
            <w:top w:w="0" w:type="dxa"/>
            <w:left w:w="108" w:type="dxa"/>
            <w:bottom w:w="0" w:type="dxa"/>
            <w:right w:w="108" w:type="dxa"/>
          </w:tblCellMar>
        </w:tblPrEx>
        <w:trPr>
          <w:trHeight w:val="285" w:hRule="atLeast"/>
        </w:trPr>
        <w:tc>
          <w:tcPr>
            <w:tcW w:w="4694" w:type="dxa"/>
            <w:gridSpan w:val="3"/>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（本列数据的勾稽关系为：第一项加第二项之和，等于第三项加第四项之和）</w:t>
            </w:r>
          </w:p>
        </w:tc>
        <w:tc>
          <w:tcPr>
            <w:tcW w:w="5600" w:type="dxa"/>
            <w:gridSpan w:val="7"/>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申请人情况</w:t>
            </w:r>
          </w:p>
        </w:tc>
      </w:tr>
      <w:tr>
        <w:tblPrEx>
          <w:tblCellMar>
            <w:top w:w="0" w:type="dxa"/>
            <w:left w:w="108" w:type="dxa"/>
            <w:bottom w:w="0" w:type="dxa"/>
            <w:right w:w="108" w:type="dxa"/>
          </w:tblCellMar>
        </w:tblPrEx>
        <w:trPr>
          <w:trHeight w:val="285" w:hRule="atLeast"/>
        </w:trPr>
        <w:tc>
          <w:tcPr>
            <w:tcW w:w="4694"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80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自然人</w:t>
            </w:r>
          </w:p>
        </w:tc>
        <w:tc>
          <w:tcPr>
            <w:tcW w:w="4000" w:type="dxa"/>
            <w:gridSpan w:val="5"/>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法人或其他组织</w:t>
            </w:r>
          </w:p>
        </w:tc>
        <w:tc>
          <w:tcPr>
            <w:tcW w:w="80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总计</w:t>
            </w:r>
          </w:p>
        </w:tc>
      </w:tr>
      <w:tr>
        <w:tblPrEx>
          <w:tblCellMar>
            <w:top w:w="0" w:type="dxa"/>
            <w:left w:w="108" w:type="dxa"/>
            <w:bottom w:w="0" w:type="dxa"/>
            <w:right w:w="108" w:type="dxa"/>
          </w:tblCellMar>
        </w:tblPrEx>
        <w:trPr>
          <w:trHeight w:val="285" w:hRule="atLeast"/>
        </w:trPr>
        <w:tc>
          <w:tcPr>
            <w:tcW w:w="4694"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8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商业</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科研</w:t>
            </w:r>
          </w:p>
        </w:tc>
        <w:tc>
          <w:tcPr>
            <w:tcW w:w="80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社会公益组织</w:t>
            </w:r>
          </w:p>
        </w:tc>
        <w:tc>
          <w:tcPr>
            <w:tcW w:w="80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法律服务机构</w:t>
            </w:r>
          </w:p>
        </w:tc>
        <w:tc>
          <w:tcPr>
            <w:tcW w:w="800"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其他</w:t>
            </w:r>
          </w:p>
        </w:tc>
        <w:tc>
          <w:tcPr>
            <w:tcW w:w="8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4694"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8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企业</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机构</w:t>
            </w:r>
          </w:p>
        </w:tc>
        <w:tc>
          <w:tcPr>
            <w:tcW w:w="8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8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8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800"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r>
      <w:tr>
        <w:tblPrEx>
          <w:tblCellMar>
            <w:top w:w="0" w:type="dxa"/>
            <w:left w:w="108" w:type="dxa"/>
            <w:bottom w:w="0" w:type="dxa"/>
            <w:right w:w="108" w:type="dxa"/>
          </w:tblCellMar>
        </w:tblPrEx>
        <w:trPr>
          <w:trHeight w:val="285" w:hRule="atLeast"/>
        </w:trPr>
        <w:tc>
          <w:tcPr>
            <w:tcW w:w="4694"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一、本年新收政府信息公开申请数量</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285" w:hRule="atLeast"/>
        </w:trPr>
        <w:tc>
          <w:tcPr>
            <w:tcW w:w="4694"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二、上年结转政府信息公开申请数量</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285" w:hRule="atLeast"/>
        </w:trPr>
        <w:tc>
          <w:tcPr>
            <w:tcW w:w="613"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三、本年度办理结果</w:t>
            </w:r>
          </w:p>
        </w:tc>
        <w:tc>
          <w:tcPr>
            <w:tcW w:w="4081"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（一）予以公开</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72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4081"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（二）部分公开（区分处理的，只计这一情形，不计其他情形）</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48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171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（三）不予公开</w:t>
            </w:r>
          </w:p>
        </w:tc>
        <w:tc>
          <w:tcPr>
            <w:tcW w:w="2366" w:type="dxa"/>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1.属于国家秘密</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72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2.其他法律行政法规禁止公开</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72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3.危及“三安全一稳定”</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48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4.保护第三方合法权益</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72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5.属于三类内部事务信息</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48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6.属于四类过程性信息</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48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7.属于行政执法案卷</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48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8.属于行政查询事项</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72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171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（四）无法提供</w:t>
            </w:r>
          </w:p>
        </w:tc>
        <w:tc>
          <w:tcPr>
            <w:tcW w:w="2366" w:type="dxa"/>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1.本机关不掌握相关政府信息</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72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2.没有现成信息需要另行制作</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72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3.补正后申请内容仍不明确</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48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 w:val="20"/>
                <w:szCs w:val="20"/>
              </w:rPr>
            </w:pPr>
          </w:p>
        </w:tc>
        <w:tc>
          <w:tcPr>
            <w:tcW w:w="1715" w:type="dxa"/>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（五）不予处理</w:t>
            </w:r>
          </w:p>
        </w:tc>
        <w:tc>
          <w:tcPr>
            <w:tcW w:w="23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1.信访举报投诉类申请</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285"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 w:val="20"/>
                <w:szCs w:val="20"/>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2.重复申请</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48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 w:val="20"/>
                <w:szCs w:val="20"/>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3.要求提供公开出版物</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72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 w:val="20"/>
                <w:szCs w:val="20"/>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4.无正当理由大量反复申请</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96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 w:val="20"/>
                <w:szCs w:val="20"/>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5.要求行政机关确认或重新出具已获取信息</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1680"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 w:val="20"/>
                <w:szCs w:val="20"/>
              </w:rPr>
            </w:pPr>
          </w:p>
        </w:tc>
        <w:tc>
          <w:tcPr>
            <w:tcW w:w="1715"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（六）其他处理</w:t>
            </w:r>
          </w:p>
        </w:tc>
        <w:tc>
          <w:tcPr>
            <w:tcW w:w="2366" w:type="dxa"/>
            <w:tcBorders>
              <w:top w:val="single" w:color="auto" w:sz="4" w:space="0"/>
              <w:left w:val="nil"/>
              <w:bottom w:val="single" w:color="auto" w:sz="4" w:space="0"/>
              <w:right w:val="single" w:color="auto" w:sz="4" w:space="0"/>
            </w:tcBorders>
            <w:shd w:val="clear" w:color="000000" w:fill="FFFFFF"/>
            <w:vAlign w:val="center"/>
          </w:tcPr>
          <w:p>
            <w:pPr>
              <w:widowControl/>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1.申请人无正当理由逾期不补正、行政机关不再处理其政府信息公开申请</w:t>
            </w:r>
          </w:p>
        </w:tc>
        <w:tc>
          <w:tcPr>
            <w:tcW w:w="80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1671"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 w:val="20"/>
                <w:szCs w:val="20"/>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nil"/>
              <w:left w:val="nil"/>
              <w:bottom w:val="single" w:color="auto" w:sz="4" w:space="0"/>
              <w:right w:val="single" w:color="auto" w:sz="4" w:space="0"/>
            </w:tcBorders>
            <w:shd w:val="clear" w:color="000000" w:fill="FFFFFF"/>
            <w:vAlign w:val="center"/>
          </w:tcPr>
          <w:p>
            <w:pPr>
              <w:widowControl/>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2.申请人逾期未按收费通知要求缴纳费用、行政机关不再处理其政府信息公开申请</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285"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 w:val="20"/>
                <w:szCs w:val="20"/>
              </w:rPr>
            </w:pPr>
          </w:p>
        </w:tc>
        <w:tc>
          <w:tcPr>
            <w:tcW w:w="1715"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p>
        </w:tc>
        <w:tc>
          <w:tcPr>
            <w:tcW w:w="2366" w:type="dxa"/>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3.其他</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285" w:hRule="atLeast"/>
        </w:trPr>
        <w:tc>
          <w:tcPr>
            <w:tcW w:w="61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color w:val="333333"/>
                <w:kern w:val="0"/>
                <w:sz w:val="20"/>
                <w:szCs w:val="20"/>
              </w:rPr>
            </w:pPr>
          </w:p>
        </w:tc>
        <w:tc>
          <w:tcPr>
            <w:tcW w:w="4081" w:type="dxa"/>
            <w:gridSpan w:val="2"/>
            <w:tcBorders>
              <w:top w:val="single" w:color="auto" w:sz="4" w:space="0"/>
              <w:left w:val="nil"/>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（七）总计</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vAlign w:val="center"/>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r>
        <w:tblPrEx>
          <w:tblCellMar>
            <w:top w:w="0" w:type="dxa"/>
            <w:left w:w="108" w:type="dxa"/>
            <w:bottom w:w="0" w:type="dxa"/>
            <w:right w:w="108" w:type="dxa"/>
          </w:tblCellMar>
        </w:tblPrEx>
        <w:trPr>
          <w:trHeight w:val="285" w:hRule="atLeast"/>
        </w:trPr>
        <w:tc>
          <w:tcPr>
            <w:tcW w:w="4694" w:type="dxa"/>
            <w:gridSpan w:val="3"/>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left"/>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四、结转下年度继续办理</w:t>
            </w:r>
          </w:p>
        </w:tc>
        <w:tc>
          <w:tcPr>
            <w:tcW w:w="800" w:type="dxa"/>
            <w:tcBorders>
              <w:top w:val="nil"/>
              <w:left w:val="nil"/>
              <w:bottom w:val="single" w:color="auto" w:sz="4" w:space="0"/>
              <w:right w:val="single" w:color="auto" w:sz="4" w:space="0"/>
            </w:tcBorders>
            <w:shd w:val="clear" w:color="000000" w:fill="FFFFFF"/>
            <w:noWrap/>
            <w:vAlign w:val="bottom"/>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xml:space="preserve">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noWrap/>
            <w:vAlign w:val="bottom"/>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xml:space="preserve">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noWrap/>
            <w:vAlign w:val="bottom"/>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xml:space="preserve">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noWrap/>
            <w:vAlign w:val="bottom"/>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xml:space="preserve">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noWrap/>
            <w:vAlign w:val="bottom"/>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xml:space="preserve">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noWrap/>
            <w:vAlign w:val="bottom"/>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xml:space="preserve">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c>
          <w:tcPr>
            <w:tcW w:w="800" w:type="dxa"/>
            <w:tcBorders>
              <w:top w:val="nil"/>
              <w:left w:val="nil"/>
              <w:bottom w:val="single" w:color="auto" w:sz="4" w:space="0"/>
              <w:right w:val="single" w:color="auto" w:sz="4" w:space="0"/>
            </w:tcBorders>
            <w:shd w:val="clear" w:color="000000" w:fill="FFFFFF"/>
            <w:noWrap/>
            <w:vAlign w:val="bottom"/>
          </w:tcPr>
          <w:p>
            <w:pPr>
              <w:widowControl/>
              <w:jc w:val="center"/>
              <w:rPr>
                <w:rFonts w:ascii="Times New Roman" w:hAnsi="Times New Roman" w:eastAsia="方正仿宋_GBK" w:cs="Times New Roman"/>
                <w:color w:val="000000" w:themeColor="text1"/>
                <w:spacing w:val="8"/>
                <w:kern w:val="0"/>
                <w:sz w:val="18"/>
                <w:szCs w:val="18"/>
                <w14:textFill>
                  <w14:solidFill>
                    <w14:schemeClr w14:val="tx1"/>
                  </w14:solidFill>
                </w14:textFill>
              </w:rPr>
            </w:pPr>
            <w:r>
              <w:rPr>
                <w:rFonts w:ascii="Times New Roman" w:hAnsi="Times New Roman" w:eastAsia="方正仿宋_GBK" w:cs="Times New Roman"/>
                <w:color w:val="000000" w:themeColor="text1"/>
                <w:spacing w:val="8"/>
                <w:kern w:val="0"/>
                <w:sz w:val="18"/>
                <w:szCs w:val="18"/>
                <w14:textFill>
                  <w14:solidFill>
                    <w14:schemeClr w14:val="tx1"/>
                  </w14:solidFill>
                </w14:textFill>
              </w:rPr>
              <w:t xml:space="preserve">  </w:t>
            </w:r>
            <w:r>
              <w:rPr>
                <w:rFonts w:hint="eastAsia" w:ascii="Times New Roman" w:hAnsi="Times New Roman" w:eastAsia="方正仿宋_GBK" w:cs="Times New Roman"/>
                <w:color w:val="000000" w:themeColor="text1"/>
                <w:spacing w:val="8"/>
                <w:kern w:val="0"/>
                <w:sz w:val="18"/>
                <w:szCs w:val="18"/>
                <w14:textFill>
                  <w14:solidFill>
                    <w14:schemeClr w14:val="tx1"/>
                  </w14:solidFill>
                </w14:textFill>
              </w:rPr>
              <w:t>0</w:t>
            </w:r>
          </w:p>
        </w:tc>
      </w:tr>
    </w:tbl>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72" w:firstLineChars="200"/>
        <w:jc w:val="both"/>
        <w:textAlignment w:val="auto"/>
        <w:rPr>
          <w:rFonts w:ascii="方正黑体_GBK" w:hAnsi="Times New Roman" w:eastAsia="方正黑体_GBK" w:cs="Times New Roman"/>
          <w:color w:val="000000" w:themeColor="text1"/>
          <w:spacing w:val="8"/>
          <w:sz w:val="32"/>
          <w:szCs w:val="32"/>
          <w14:textFill>
            <w14:solidFill>
              <w14:schemeClr w14:val="tx1"/>
            </w14:solidFill>
          </w14:textFill>
        </w:rPr>
      </w:pPr>
      <w:r>
        <w:rPr>
          <w:rFonts w:hint="eastAsia" w:ascii="方正黑体_GBK" w:hAnsi="Times New Roman" w:eastAsia="方正黑体_GBK" w:cs="Times New Roman"/>
          <w:color w:val="000000" w:themeColor="text1"/>
          <w:spacing w:val="8"/>
          <w:sz w:val="32"/>
          <w:szCs w:val="32"/>
          <w14:textFill>
            <w14:solidFill>
              <w14:schemeClr w14:val="tx1"/>
            </w14:solidFill>
          </w14:textFill>
        </w:rPr>
        <w:t>四、政府信息公开行政复议、行政诉讼情况</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75"/>
        <w:jc w:val="both"/>
        <w:textAlignment w:val="auto"/>
        <w:rPr>
          <w:rFonts w:ascii="Times New Roman" w:hAnsi="Times New Roman" w:eastAsia="方正仿宋_GBK" w:cs="Times New Roman"/>
          <w:color w:val="000000" w:themeColor="text1"/>
          <w:spacing w:val="8"/>
          <w:sz w:val="32"/>
          <w:szCs w:val="32"/>
          <w14:textFill>
            <w14:solidFill>
              <w14:schemeClr w14:val="tx1"/>
            </w14:solidFill>
          </w14:textFill>
        </w:rPr>
      </w:pPr>
      <w:r>
        <w:rPr>
          <w:rFonts w:hint="eastAsia" w:ascii="Times New Roman" w:hAnsi="Times New Roman" w:eastAsia="方正仿宋_GBK" w:cs="Times New Roman"/>
          <w:color w:val="000000" w:themeColor="text1"/>
          <w:spacing w:val="8"/>
          <w:sz w:val="32"/>
          <w:szCs w:val="32"/>
          <w14:textFill>
            <w14:solidFill>
              <w14:schemeClr w14:val="tx1"/>
            </w14:solidFill>
          </w14:textFill>
        </w:rPr>
        <w:t>2</w:t>
      </w:r>
      <w:r>
        <w:rPr>
          <w:rFonts w:ascii="Times New Roman" w:hAnsi="Times New Roman" w:eastAsia="方正仿宋_GBK" w:cs="Times New Roman"/>
          <w:color w:val="000000" w:themeColor="text1"/>
          <w:spacing w:val="8"/>
          <w:sz w:val="32"/>
          <w:szCs w:val="32"/>
          <w14:textFill>
            <w14:solidFill>
              <w14:schemeClr w14:val="tx1"/>
            </w14:solidFill>
          </w14:textFill>
        </w:rPr>
        <w:t>02</w:t>
      </w:r>
      <w:r>
        <w:rPr>
          <w:rFonts w:hint="eastAsia" w:ascii="Times New Roman" w:hAnsi="Times New Roman" w:eastAsia="方正仿宋_GBK" w:cs="Times New Roman"/>
          <w:color w:val="000000" w:themeColor="text1"/>
          <w:spacing w:val="8"/>
          <w:sz w:val="32"/>
          <w:szCs w:val="32"/>
          <w:lang w:val="en-US" w:eastAsia="zh-CN"/>
          <w14:textFill>
            <w14:solidFill>
              <w14:schemeClr w14:val="tx1"/>
            </w14:solidFill>
          </w14:textFill>
        </w:rPr>
        <w:t>2</w:t>
      </w:r>
      <w:r>
        <w:rPr>
          <w:rFonts w:hint="eastAsia" w:ascii="Times New Roman" w:hAnsi="Times New Roman" w:eastAsia="方正仿宋_GBK" w:cs="Times New Roman"/>
          <w:color w:val="000000" w:themeColor="text1"/>
          <w:spacing w:val="8"/>
          <w:sz w:val="32"/>
          <w:szCs w:val="32"/>
          <w14:textFill>
            <w14:solidFill>
              <w14:schemeClr w14:val="tx1"/>
            </w14:solidFill>
          </w14:textFill>
        </w:rPr>
        <w:t>年，我办未发生因政府信息公开工作被申请行政复议、提起行政诉讼情况。</w:t>
      </w:r>
    </w:p>
    <w:tbl>
      <w:tblPr>
        <w:tblStyle w:val="6"/>
        <w:tblW w:w="9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610"/>
        <w:gridCol w:w="610"/>
        <w:gridCol w:w="610"/>
        <w:gridCol w:w="613"/>
        <w:gridCol w:w="611"/>
        <w:gridCol w:w="611"/>
        <w:gridCol w:w="611"/>
        <w:gridCol w:w="611"/>
        <w:gridCol w:w="613"/>
        <w:gridCol w:w="611"/>
        <w:gridCol w:w="611"/>
        <w:gridCol w:w="611"/>
        <w:gridCol w:w="611"/>
        <w:gridCol w:w="611"/>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3056" w:type="dxa"/>
            <w:gridSpan w:val="5"/>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行政复议</w:t>
            </w:r>
          </w:p>
        </w:tc>
        <w:tc>
          <w:tcPr>
            <w:tcW w:w="6115" w:type="dxa"/>
            <w:gridSpan w:val="11"/>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10" w:type="dxa"/>
            <w:vMerge w:val="restart"/>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结果维持</w:t>
            </w:r>
          </w:p>
        </w:tc>
        <w:tc>
          <w:tcPr>
            <w:tcW w:w="611" w:type="dxa"/>
            <w:vMerge w:val="restart"/>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结果纠正</w:t>
            </w:r>
          </w:p>
        </w:tc>
        <w:tc>
          <w:tcPr>
            <w:tcW w:w="611" w:type="dxa"/>
            <w:vMerge w:val="restart"/>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其他结果</w:t>
            </w:r>
          </w:p>
        </w:tc>
        <w:tc>
          <w:tcPr>
            <w:tcW w:w="611" w:type="dxa"/>
            <w:vMerge w:val="restart"/>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尚未审结</w:t>
            </w:r>
          </w:p>
        </w:tc>
        <w:tc>
          <w:tcPr>
            <w:tcW w:w="611" w:type="dxa"/>
            <w:vMerge w:val="restart"/>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总计</w:t>
            </w:r>
          </w:p>
        </w:tc>
        <w:tc>
          <w:tcPr>
            <w:tcW w:w="3057" w:type="dxa"/>
            <w:gridSpan w:val="5"/>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未经复议直接起诉</w:t>
            </w:r>
          </w:p>
        </w:tc>
        <w:tc>
          <w:tcPr>
            <w:tcW w:w="3057" w:type="dxa"/>
            <w:gridSpan w:val="6"/>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904" w:hRule="atLeast"/>
        </w:trPr>
        <w:tc>
          <w:tcPr>
            <w:tcW w:w="610" w:type="dxa"/>
            <w:vMerge w:val="continue"/>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p>
        </w:tc>
        <w:tc>
          <w:tcPr>
            <w:tcW w:w="611" w:type="dxa"/>
            <w:vMerge w:val="continue"/>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p>
        </w:tc>
        <w:tc>
          <w:tcPr>
            <w:tcW w:w="611" w:type="dxa"/>
            <w:vMerge w:val="continue"/>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p>
        </w:tc>
        <w:tc>
          <w:tcPr>
            <w:tcW w:w="611" w:type="dxa"/>
            <w:vMerge w:val="continue"/>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p>
        </w:tc>
        <w:tc>
          <w:tcPr>
            <w:tcW w:w="611" w:type="dxa"/>
            <w:vMerge w:val="continue"/>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结果维持</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结果纠正</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其他结果</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尚未审结</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总计</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结果维持</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结果纠正</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其他结果</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尚未审结</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901" w:hRule="atLeast"/>
        </w:trPr>
        <w:tc>
          <w:tcPr>
            <w:tcW w:w="610"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c>
          <w:tcPr>
            <w:tcW w:w="611" w:type="dxa"/>
            <w:vAlign w:val="center"/>
          </w:tcPr>
          <w:p>
            <w:pPr>
              <w:pStyle w:val="4"/>
              <w:spacing w:before="0" w:beforeAutospacing="0" w:after="0" w:afterAutospacing="0" w:line="340" w:lineRule="exact"/>
              <w:jc w:val="center"/>
              <w:rPr>
                <w:rFonts w:ascii="Times New Roman" w:hAnsi="Times New Roman" w:eastAsia="方正仿宋_GBK" w:cs="Times New Roman"/>
                <w:color w:val="000000" w:themeColor="text1"/>
                <w:spacing w:val="8"/>
                <w:sz w:val="18"/>
                <w:szCs w:val="18"/>
                <w14:textFill>
                  <w14:solidFill>
                    <w14:schemeClr w14:val="tx1"/>
                  </w14:solidFill>
                </w14:textFill>
              </w:rPr>
            </w:pPr>
            <w:r>
              <w:rPr>
                <w:rFonts w:hint="eastAsia" w:ascii="Times New Roman" w:hAnsi="Times New Roman" w:eastAsia="方正仿宋_GBK" w:cs="Times New Roman"/>
                <w:color w:val="000000" w:themeColor="text1"/>
                <w:spacing w:val="8"/>
                <w:sz w:val="18"/>
                <w:szCs w:val="18"/>
                <w14:textFill>
                  <w14:solidFill>
                    <w14:schemeClr w14:val="tx1"/>
                  </w14:solidFill>
                </w14:textFill>
              </w:rPr>
              <w:t>0</w:t>
            </w:r>
          </w:p>
        </w:tc>
      </w:tr>
    </w:tbl>
    <w:p>
      <w:pPr>
        <w:pStyle w:val="4"/>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80" w:lineRule="exact"/>
        <w:ind w:firstLine="672" w:firstLineChars="200"/>
        <w:jc w:val="both"/>
        <w:textAlignment w:val="auto"/>
        <w:rPr>
          <w:rFonts w:hint="eastAsia" w:ascii="方正黑体_GBK" w:hAnsi="Times New Roman" w:eastAsia="方正黑体_GBK" w:cs="Times New Roman"/>
          <w:color w:val="000000" w:themeColor="text1"/>
          <w:spacing w:val="8"/>
          <w:sz w:val="32"/>
          <w:szCs w:val="32"/>
          <w14:textFill>
            <w14:solidFill>
              <w14:schemeClr w14:val="tx1"/>
            </w14:solidFill>
          </w14:textFill>
        </w:rPr>
      </w:pPr>
      <w:r>
        <w:rPr>
          <w:rFonts w:hint="eastAsia" w:ascii="方正黑体_GBK" w:hAnsi="Times New Roman" w:eastAsia="方正黑体_GBK" w:cs="Times New Roman"/>
          <w:color w:val="000000" w:themeColor="text1"/>
          <w:spacing w:val="8"/>
          <w:sz w:val="32"/>
          <w:szCs w:val="32"/>
          <w:lang w:val="en-US" w:eastAsia="zh-CN"/>
          <w14:textFill>
            <w14:solidFill>
              <w14:schemeClr w14:val="tx1"/>
            </w14:solidFill>
          </w14:textFill>
        </w:rPr>
        <w:t>五、</w:t>
      </w:r>
      <w:r>
        <w:rPr>
          <w:rFonts w:hint="eastAsia" w:ascii="方正黑体_GBK" w:hAnsi="Times New Roman" w:eastAsia="方正黑体_GBK" w:cs="Times New Roman"/>
          <w:color w:val="000000" w:themeColor="text1"/>
          <w:spacing w:val="8"/>
          <w:sz w:val="32"/>
          <w:szCs w:val="32"/>
          <w14:textFill>
            <w14:solidFill>
              <w14:schemeClr w14:val="tx1"/>
            </w14:solidFill>
          </w14:textFill>
        </w:rPr>
        <w:t>存在的主要问题及改进情况</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72" w:firstLineChars="200"/>
        <w:jc w:val="both"/>
        <w:textAlignment w:val="auto"/>
        <w:rPr>
          <w:rFonts w:hint="eastAsia" w:ascii="Times New Roman" w:hAnsi="Times New Roman" w:eastAsia="方正仿宋_GBK" w:cs="Times New Roman"/>
          <w:color w:val="000000" w:themeColor="text1"/>
          <w:spacing w:val="8"/>
          <w:sz w:val="32"/>
          <w:szCs w:val="32"/>
          <w14:textFill>
            <w14:solidFill>
              <w14:schemeClr w14:val="tx1"/>
            </w14:solidFill>
          </w14:textFill>
        </w:rPr>
      </w:pPr>
      <w:r>
        <w:rPr>
          <w:rFonts w:hint="eastAsia" w:ascii="Times New Roman" w:hAnsi="Times New Roman" w:eastAsia="方正仿宋_GBK" w:cs="Times New Roman"/>
          <w:color w:val="000000" w:themeColor="text1"/>
          <w:spacing w:val="8"/>
          <w:sz w:val="32"/>
          <w:szCs w:val="32"/>
          <w14:textFill>
            <w14:solidFill>
              <w14:schemeClr w14:val="tx1"/>
            </w14:solidFill>
          </w14:textFill>
        </w:rPr>
        <w:t>回顾过去一年，我</w:t>
      </w:r>
      <w:r>
        <w:rPr>
          <w:rFonts w:hint="eastAsia" w:ascii="Times New Roman" w:hAnsi="Times New Roman" w:eastAsia="方正仿宋_GBK" w:cs="Times New Roman"/>
          <w:color w:val="000000" w:themeColor="text1"/>
          <w:spacing w:val="8"/>
          <w:sz w:val="32"/>
          <w:szCs w:val="32"/>
          <w:lang w:val="en-US" w:eastAsia="zh-CN"/>
          <w14:textFill>
            <w14:solidFill>
              <w14:schemeClr w14:val="tx1"/>
            </w14:solidFill>
          </w14:textFill>
        </w:rPr>
        <w:t>办</w:t>
      </w:r>
      <w:r>
        <w:rPr>
          <w:rFonts w:hint="eastAsia" w:ascii="Times New Roman" w:hAnsi="Times New Roman" w:eastAsia="方正仿宋_GBK" w:cs="Times New Roman"/>
          <w:color w:val="000000" w:themeColor="text1"/>
          <w:spacing w:val="8"/>
          <w:sz w:val="32"/>
          <w:szCs w:val="32"/>
          <w14:textFill>
            <w14:solidFill>
              <w14:schemeClr w14:val="tx1"/>
            </w14:solidFill>
          </w14:textFill>
        </w:rPr>
        <w:t>在政府信息公开工作方面虽然取得了一些成绩，但与上级要求和公众需求存在一定的差距。主要是主动公开的创新性不够，形式不够多样化。</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72" w:firstLineChars="200"/>
        <w:jc w:val="both"/>
        <w:textAlignment w:val="auto"/>
        <w:rPr>
          <w:rFonts w:hint="eastAsia" w:ascii="方正黑体_GBK" w:hAnsi="Times New Roman" w:eastAsia="方正黑体_GBK" w:cs="Times New Roman"/>
          <w:color w:val="000000" w:themeColor="text1"/>
          <w:spacing w:val="8"/>
          <w:sz w:val="32"/>
          <w:szCs w:val="32"/>
          <w14:textFill>
            <w14:solidFill>
              <w14:schemeClr w14:val="tx1"/>
            </w14:solidFill>
          </w14:textFill>
        </w:rPr>
      </w:pPr>
      <w:r>
        <w:rPr>
          <w:rFonts w:hint="eastAsia" w:ascii="Times New Roman" w:hAnsi="Times New Roman" w:eastAsia="方正仿宋_GBK" w:cs="Times New Roman"/>
          <w:color w:val="000000" w:themeColor="text1"/>
          <w:spacing w:val="8"/>
          <w:sz w:val="32"/>
          <w:szCs w:val="32"/>
          <w14:textFill>
            <w14:solidFill>
              <w14:schemeClr w14:val="tx1"/>
            </w14:solidFill>
          </w14:textFill>
        </w:rPr>
        <w:t>下一步，我</w:t>
      </w:r>
      <w:r>
        <w:rPr>
          <w:rFonts w:hint="eastAsia" w:ascii="Times New Roman" w:hAnsi="Times New Roman" w:eastAsia="方正仿宋_GBK" w:cs="Times New Roman"/>
          <w:color w:val="000000" w:themeColor="text1"/>
          <w:spacing w:val="8"/>
          <w:sz w:val="32"/>
          <w:szCs w:val="32"/>
          <w:lang w:val="en-US" w:eastAsia="zh-CN"/>
          <w14:textFill>
            <w14:solidFill>
              <w14:schemeClr w14:val="tx1"/>
            </w14:solidFill>
          </w14:textFill>
        </w:rPr>
        <w:t>办</w:t>
      </w:r>
      <w:r>
        <w:rPr>
          <w:rFonts w:hint="eastAsia" w:ascii="Times New Roman" w:hAnsi="Times New Roman" w:eastAsia="方正仿宋_GBK" w:cs="Times New Roman"/>
          <w:color w:val="000000" w:themeColor="text1"/>
          <w:spacing w:val="8"/>
          <w:sz w:val="32"/>
          <w:szCs w:val="32"/>
          <w14:textFill>
            <w14:solidFill>
              <w14:schemeClr w14:val="tx1"/>
            </w14:solidFill>
          </w14:textFill>
        </w:rPr>
        <w:t>将进一步提高政府信息公开规范化标准化，创新公开形式，确保公开工作高质高效完成。</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72" w:firstLineChars="200"/>
        <w:jc w:val="both"/>
        <w:textAlignment w:val="auto"/>
        <w:rPr>
          <w:rFonts w:ascii="方正黑体_GBK" w:hAnsi="Times New Roman" w:eastAsia="方正黑体_GBK" w:cs="Times New Roman"/>
          <w:color w:val="000000" w:themeColor="text1"/>
          <w:spacing w:val="8"/>
          <w:sz w:val="32"/>
          <w:szCs w:val="32"/>
          <w14:textFill>
            <w14:solidFill>
              <w14:schemeClr w14:val="tx1"/>
            </w14:solidFill>
          </w14:textFill>
        </w:rPr>
      </w:pPr>
      <w:r>
        <w:rPr>
          <w:rFonts w:hint="eastAsia" w:ascii="方正黑体_GBK" w:hAnsi="Times New Roman" w:eastAsia="方正黑体_GBK" w:cs="Times New Roman"/>
          <w:color w:val="000000" w:themeColor="text1"/>
          <w:spacing w:val="8"/>
          <w:sz w:val="32"/>
          <w:szCs w:val="32"/>
          <w14:textFill>
            <w14:solidFill>
              <w14:schemeClr w14:val="tx1"/>
            </w14:solidFill>
          </w14:textFill>
        </w:rPr>
        <w:t>六、其他需要报告的事项</w:t>
      </w:r>
    </w:p>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580" w:lineRule="exact"/>
        <w:ind w:firstLine="672" w:firstLineChars="200"/>
        <w:jc w:val="both"/>
        <w:textAlignment w:val="auto"/>
        <w:rPr>
          <w:rFonts w:ascii="Times New Roman" w:hAnsi="Times New Roman" w:cs="Times New Roman"/>
        </w:rPr>
      </w:pPr>
      <w:r>
        <w:rPr>
          <w:rFonts w:ascii="Times New Roman" w:hAnsi="Times New Roman" w:eastAsia="方正仿宋_GBK" w:cs="Times New Roman"/>
          <w:color w:val="000000" w:themeColor="text1"/>
          <w:spacing w:val="8"/>
          <w:sz w:val="32"/>
          <w:szCs w:val="32"/>
          <w14:textFill>
            <w14:solidFill>
              <w14:schemeClr w14:val="tx1"/>
            </w14:solidFill>
          </w14:textFill>
        </w:rPr>
        <w:t>202</w:t>
      </w:r>
      <w:r>
        <w:rPr>
          <w:rFonts w:hint="eastAsia" w:ascii="Times New Roman" w:hAnsi="Times New Roman" w:eastAsia="方正仿宋_GBK" w:cs="Times New Roman"/>
          <w:color w:val="000000" w:themeColor="text1"/>
          <w:spacing w:val="8"/>
          <w:sz w:val="32"/>
          <w:szCs w:val="32"/>
          <w:lang w:val="en-US" w:eastAsia="zh-CN"/>
          <w14:textFill>
            <w14:solidFill>
              <w14:schemeClr w14:val="tx1"/>
            </w14:solidFill>
          </w14:textFill>
        </w:rPr>
        <w:t>2</w:t>
      </w:r>
      <w:r>
        <w:rPr>
          <w:rFonts w:ascii="Times New Roman" w:hAnsi="Times New Roman" w:eastAsia="方正仿宋_GBK" w:cs="Times New Roman"/>
          <w:color w:val="000000" w:themeColor="text1"/>
          <w:spacing w:val="8"/>
          <w:sz w:val="32"/>
          <w:szCs w:val="32"/>
          <w14:textFill>
            <w14:solidFill>
              <w14:schemeClr w14:val="tx1"/>
            </w14:solidFill>
          </w14:textFill>
        </w:rPr>
        <w:t>年我</w:t>
      </w:r>
      <w:r>
        <w:rPr>
          <w:rFonts w:hint="eastAsia" w:ascii="Times New Roman" w:hAnsi="Times New Roman" w:eastAsia="方正仿宋_GBK" w:cs="Times New Roman"/>
          <w:color w:val="000000" w:themeColor="text1"/>
          <w:spacing w:val="8"/>
          <w:sz w:val="32"/>
          <w:szCs w:val="32"/>
          <w14:textFill>
            <w14:solidFill>
              <w14:schemeClr w14:val="tx1"/>
            </w14:solidFill>
          </w14:textFill>
        </w:rPr>
        <w:t>办</w:t>
      </w:r>
      <w:r>
        <w:rPr>
          <w:rFonts w:ascii="Times New Roman" w:hAnsi="Times New Roman" w:eastAsia="方正仿宋_GBK" w:cs="Times New Roman"/>
          <w:color w:val="000000" w:themeColor="text1"/>
          <w:spacing w:val="8"/>
          <w:sz w:val="32"/>
          <w:szCs w:val="32"/>
          <w14:textFill>
            <w14:solidFill>
              <w14:schemeClr w14:val="tx1"/>
            </w14:solidFill>
          </w14:textFill>
        </w:rPr>
        <w:t>无收取信息处理费情况，无其他需要报告的事项。</w:t>
      </w:r>
    </w:p>
    <w:p>
      <w:pPr>
        <w:pStyle w:val="4"/>
        <w:spacing w:before="0" w:beforeAutospacing="0" w:after="0" w:afterAutospacing="0" w:line="580" w:lineRule="exact"/>
        <w:jc w:val="both"/>
        <w:rPr>
          <w:rFonts w:ascii="Times New Roman" w:eastAsia="方正仿宋_GBK" w:cs="Times New Roman"/>
          <w:sz w:val="32"/>
          <w:szCs w:val="32"/>
          <w:shd w:val="clear" w:color="auto" w:fill="FFFFFF"/>
        </w:rPr>
      </w:pPr>
    </w:p>
    <w:p>
      <w:pPr>
        <w:numPr>
          <w:ilvl w:val="0"/>
          <w:numId w:val="0"/>
        </w:numPr>
        <w:rPr>
          <w:rFonts w:hint="eastAsia" w:ascii="Times New Roman" w:hAnsi="宋体" w:eastAsia="方正仿宋_GBK" w:cs="Times New Roman"/>
          <w:kern w:val="0"/>
          <w:sz w:val="32"/>
          <w:szCs w:val="32"/>
          <w:shd w:val="clear" w:color="auto" w:fill="FFFFFF"/>
        </w:rPr>
      </w:pPr>
    </w:p>
    <w:p>
      <w:pPr>
        <w:rPr>
          <w:rFonts w:hint="eastAsia" w:eastAsiaTheme="minorEastAsia"/>
          <w:lang w:eastAsia="zh-CN"/>
        </w:rPr>
      </w:pPr>
    </w:p>
    <w:sectPr>
      <w:footerReference r:id="rId3" w:type="default"/>
      <w:pgSz w:w="11906" w:h="16838"/>
      <w:pgMar w:top="2098" w:right="1531" w:bottom="1928" w:left="1531" w:header="851" w:footer="1474"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posOffset>2515870</wp:posOffset>
              </wp:positionH>
              <wp:positionV relativeFrom="paragraph">
                <wp:posOffset>163195</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right"/>
                            <w:rPr>
                              <w:rFonts w:ascii="Times New Roman" w:hAnsi="Times New Roman"/>
                              <w:sz w:val="28"/>
                              <w:szCs w:val="28"/>
                            </w:rPr>
                          </w:pPr>
                          <w:r>
                            <w:rPr>
                              <w:rFonts w:ascii="Times New Roman" w:hAnsi="Times New Roman"/>
                              <w:sz w:val="28"/>
                              <w:szCs w:val="28"/>
                            </w:rPr>
                            <w:t xml:space="preserve">— </w:t>
                          </w:r>
                          <w:sdt>
                            <w:sdtPr>
                              <w:rPr>
                                <w:rFonts w:ascii="Times New Roman" w:hAnsi="Times New Roman"/>
                                <w:sz w:val="28"/>
                                <w:szCs w:val="28"/>
                              </w:rPr>
                              <w:id w:val="-569032895"/>
                              <w:docPartObj>
                                <w:docPartGallery w:val="autotext"/>
                              </w:docPartObj>
                            </w:sdtPr>
                            <w:sdtEndPr>
                              <w:rPr>
                                <w:rFonts w:ascii="Times New Roman" w:hAnsi="Times New Roman"/>
                                <w:sz w:val="28"/>
                                <w:szCs w:val="28"/>
                              </w:rPr>
                            </w:sdtEndPr>
                            <w:sdtContent>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 xml:space="preserve"> —</w:t>
                              </w:r>
                            </w:sdtContent>
                          </w:sdt>
                        </w:p>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8.1pt;margin-top:12.85pt;height:144pt;width:144pt;mso-position-horizontal-relative:margin;mso-wrap-style:none;z-index:251659264;mso-width-relative:page;mso-height-relative:page;" filled="f" stroked="f" coordsize="21600,21600" o:gfxdata="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Hybdk9cAAAAKAQAADwAAAAAAAAABACAAAAAiAAAAZHJzL2Rvd25yZXYueG1s&#10;UEsBAhQAFAAAAAgAh07iQAKVIPQyAgAAYQQAAA4AAAAAAAAAAQAgAAAAJgEAAGRycy9lMm9Eb2Mu&#10;eG1sUEsFBgAAAAAGAAYAWQEAAMoFAAAAAA==&#10;">
              <v:fill on="f" focussize="0,0"/>
              <v:stroke on="f" weight="0.5pt"/>
              <v:imagedata o:title=""/>
              <o:lock v:ext="edit" aspectratio="f"/>
              <v:textbox inset="0mm,0mm,0mm,0mm" style="mso-fit-shape-to-text:t;">
                <w:txbxContent>
                  <w:p>
                    <w:pPr>
                      <w:pStyle w:val="2"/>
                      <w:jc w:val="right"/>
                      <w:rPr>
                        <w:rFonts w:ascii="Times New Roman" w:hAnsi="Times New Roman"/>
                        <w:sz w:val="28"/>
                        <w:szCs w:val="28"/>
                      </w:rPr>
                    </w:pPr>
                    <w:r>
                      <w:rPr>
                        <w:rFonts w:ascii="Times New Roman" w:hAnsi="Times New Roman"/>
                        <w:sz w:val="28"/>
                        <w:szCs w:val="28"/>
                      </w:rPr>
                      <w:t xml:space="preserve">— </w:t>
                    </w:r>
                    <w:sdt>
                      <w:sdtPr>
                        <w:rPr>
                          <w:rFonts w:ascii="Times New Roman" w:hAnsi="Times New Roman"/>
                          <w:sz w:val="28"/>
                          <w:szCs w:val="28"/>
                        </w:rPr>
                        <w:id w:val="-569032895"/>
                        <w:docPartObj>
                          <w:docPartGallery w:val="autotext"/>
                        </w:docPartObj>
                      </w:sdtPr>
                      <w:sdtEndPr>
                        <w:rPr>
                          <w:rFonts w:ascii="Times New Roman" w:hAnsi="Times New Roman"/>
                          <w:sz w:val="28"/>
                          <w:szCs w:val="28"/>
                        </w:rPr>
                      </w:sdtEndPr>
                      <w:sdtContent>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 xml:space="preserve"> —</w:t>
                        </w:r>
                      </w:sdtContent>
                    </w:sdt>
                  </w:p>
                  <w:p>
                    <w:pPr>
                      <w:pStyle w:val="2"/>
                    </w:pP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yYTg1NDk0OTgzYzgxYTBkZDIyYTBhMjM1ZWFkNmUifQ=="/>
  </w:docVars>
  <w:rsids>
    <w:rsidRoot w:val="02117BF7"/>
    <w:rsid w:val="01F55459"/>
    <w:rsid w:val="02117BF7"/>
    <w:rsid w:val="0ECC12D1"/>
    <w:rsid w:val="15D6632B"/>
    <w:rsid w:val="1BD51D97"/>
    <w:rsid w:val="20A31FD1"/>
    <w:rsid w:val="23A235B1"/>
    <w:rsid w:val="23EF4A2A"/>
    <w:rsid w:val="3B721472"/>
    <w:rsid w:val="3DD105B2"/>
    <w:rsid w:val="49867BB9"/>
    <w:rsid w:val="513B2DB5"/>
    <w:rsid w:val="5D890701"/>
    <w:rsid w:val="66401FA8"/>
    <w:rsid w:val="680E2F36"/>
    <w:rsid w:val="689A550D"/>
    <w:rsid w:val="738B7E96"/>
    <w:rsid w:val="79CF4495"/>
    <w:rsid w:val="7C3A20F4"/>
    <w:rsid w:val="7FCE32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Hyperlink"/>
    <w:basedOn w:val="7"/>
    <w:qFormat/>
    <w:uiPriority w:val="0"/>
    <w:rPr>
      <w:color w:val="0563C1" w:themeColor="hyperlink"/>
      <w:u w:val="single"/>
      <w14:textFill>
        <w14:solidFill>
          <w14:schemeClr w14:val="hlink"/>
        </w14:solidFill>
      </w14:textFill>
    </w:rPr>
  </w:style>
  <w:style w:type="paragraph" w:styleId="1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2630</Words>
  <Characters>2758</Characters>
  <Lines>0</Lines>
  <Paragraphs>0</Paragraphs>
  <TotalTime>239</TotalTime>
  <ScaleCrop>false</ScaleCrop>
  <LinksUpToDate>false</LinksUpToDate>
  <CharactersWithSpaces>2948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2023-01-09T06:53:00Z</dcterms:created>
  <dc:creator>陈 雷⁶</dc:creator>
  <cp:lastModifiedBy>陈 雷⁶</cp:lastModifiedBy>
  <cp:lastPrinted>2023-01-11T02:08:00Z</cp:lastPrinted>
  <dcterms:modified xsi:type="dcterms:W3CDTF">2023-01-17T07:33:19Z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8425F6AFF8784CE39007A889636BE0CE</vt:lpwstr>
  </property>
</Properties>
</file>